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63CEE" w14:textId="63F0D1BA" w:rsidR="001F7881" w:rsidRPr="001F7881" w:rsidRDefault="001F7881" w:rsidP="001F7881">
      <w:pPr>
        <w:pStyle w:val="a5"/>
        <w:tabs>
          <w:tab w:val="left" w:pos="8280"/>
        </w:tabs>
        <w:spacing w:line="280" w:lineRule="exact"/>
        <w:jc w:val="both"/>
        <w:rPr>
          <w:rFonts w:ascii="Calibri" w:eastAsia="PMingLiU" w:hAnsi="Calibri" w:cs="Calibri"/>
          <w:sz w:val="24"/>
          <w:szCs w:val="24"/>
          <w:highlight w:val="yellow"/>
          <w:lang w:eastAsia="ja-JP"/>
        </w:rPr>
      </w:pPr>
      <w:r w:rsidRPr="001F7881">
        <w:rPr>
          <w:rFonts w:ascii="Calibri" w:eastAsia="PMingLiU" w:hAnsi="Calibri" w:cs="Calibri"/>
          <w:sz w:val="24"/>
          <w:szCs w:val="24"/>
          <w:lang w:eastAsia="ja-JP"/>
        </w:rPr>
        <w:t xml:space="preserve">3GPP TSG-RAN WG4 Meeting #94-e                       </w:t>
      </w:r>
      <w:r w:rsidRPr="001F7881">
        <w:rPr>
          <w:rFonts w:ascii="Calibri" w:eastAsia="PMingLiU" w:hAnsi="Calibri" w:cs="Calibri"/>
          <w:sz w:val="24"/>
          <w:szCs w:val="24"/>
          <w:lang w:eastAsia="ja-JP"/>
        </w:rPr>
        <w:tab/>
        <w:t xml:space="preserve"> </w:t>
      </w:r>
      <w:r w:rsidRPr="00AA6DB7">
        <w:rPr>
          <w:rFonts w:ascii="Calibri" w:eastAsia="PMingLiU" w:hAnsi="Calibri" w:cs="Calibri"/>
          <w:sz w:val="24"/>
          <w:szCs w:val="24"/>
          <w:lang w:eastAsia="ja-JP"/>
        </w:rPr>
        <w:t>R4-</w:t>
      </w:r>
      <w:r w:rsidRPr="00AA6DB7">
        <w:rPr>
          <w:rFonts w:ascii="Calibri" w:hAnsi="Calibri" w:cs="Calibri"/>
        </w:rPr>
        <w:t xml:space="preserve"> </w:t>
      </w:r>
      <w:r w:rsidRPr="00AA6DB7">
        <w:rPr>
          <w:rFonts w:ascii="Calibri" w:eastAsia="PMingLiU" w:hAnsi="Calibri" w:cs="Calibri"/>
          <w:sz w:val="24"/>
          <w:szCs w:val="24"/>
          <w:lang w:eastAsia="ja-JP"/>
        </w:rPr>
        <w:t>200</w:t>
      </w:r>
      <w:r w:rsidR="00AA6DB7" w:rsidRPr="00AA6DB7">
        <w:rPr>
          <w:rFonts w:ascii="Calibri" w:eastAsia="PMingLiU" w:hAnsi="Calibri" w:cs="Calibri"/>
          <w:sz w:val="24"/>
          <w:szCs w:val="24"/>
          <w:lang w:eastAsia="ja-JP"/>
        </w:rPr>
        <w:t>10</w:t>
      </w:r>
      <w:bookmarkStart w:id="0" w:name="_GoBack"/>
      <w:bookmarkEnd w:id="0"/>
      <w:r w:rsidR="00AA6DB7" w:rsidRPr="00AA6DB7">
        <w:rPr>
          <w:rFonts w:ascii="Calibri" w:eastAsia="PMingLiU" w:hAnsi="Calibri" w:cs="Calibri"/>
          <w:sz w:val="24"/>
          <w:szCs w:val="24"/>
          <w:lang w:eastAsia="ja-JP"/>
        </w:rPr>
        <w:t>27</w:t>
      </w:r>
    </w:p>
    <w:p w14:paraId="4E0C38C6" w14:textId="77777777" w:rsidR="001F7881" w:rsidRPr="00E56407" w:rsidRDefault="001F7881" w:rsidP="001F7881">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0426E601" w14:textId="77777777" w:rsidR="002E58D2" w:rsidRPr="00F27E78" w:rsidRDefault="002E58D2" w:rsidP="002E58D2">
      <w:pPr>
        <w:pStyle w:val="a5"/>
        <w:rPr>
          <w:rFonts w:ascii="Calibri" w:eastAsia="PMingLiU" w:hAnsi="Calibri"/>
          <w:sz w:val="24"/>
          <w:highlight w:val="yellow"/>
          <w:lang w:eastAsia="zh-TW"/>
        </w:rPr>
      </w:pPr>
    </w:p>
    <w:p w14:paraId="6352570E" w14:textId="390E603D"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B313BA">
        <w:rPr>
          <w:b/>
        </w:rPr>
        <w:t>8</w:t>
      </w:r>
      <w:r w:rsidR="004F11D1" w:rsidRPr="00ED51EE">
        <w:rPr>
          <w:b/>
        </w:rPr>
        <w:t>.4.5.2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86726DF"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B46744">
        <w:rPr>
          <w:rFonts w:cs="Arial"/>
          <w:b/>
          <w:bCs/>
        </w:rPr>
        <w:t>synchronization related</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77BB875" w14:textId="2FDECAED" w:rsidR="00F27E78" w:rsidRDefault="00E27536" w:rsidP="00F27E78">
      <w:pPr>
        <w:pStyle w:val="Default"/>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w:t>
      </w:r>
      <w:r w:rsidR="00F27E78">
        <w:rPr>
          <w:rFonts w:asciiTheme="minorHAnsi" w:eastAsiaTheme="minorEastAsia" w:hAnsiTheme="minorHAnsi" w:cstheme="minorBidi"/>
          <w:color w:val="auto"/>
          <w:sz w:val="22"/>
          <w:szCs w:val="22"/>
        </w:rPr>
        <w:t xml:space="preserve">last </w:t>
      </w:r>
      <w:r w:rsidRPr="00001D03">
        <w:rPr>
          <w:rFonts w:asciiTheme="minorHAnsi" w:eastAsiaTheme="minorEastAsia" w:hAnsiTheme="minorHAnsi" w:cstheme="minorBidi"/>
          <w:color w:val="auto"/>
          <w:sz w:val="22"/>
          <w:szCs w:val="22"/>
        </w:rPr>
        <w:t xml:space="preserve">RAN4 meeting, </w:t>
      </w:r>
      <w:r w:rsidR="00F27E78" w:rsidRPr="00842EE0">
        <w:rPr>
          <w:rFonts w:asciiTheme="minorHAnsi" w:eastAsiaTheme="minorEastAsia" w:hAnsiTheme="minorHAnsi" w:cstheme="minorBidi" w:hint="eastAsia"/>
          <w:color w:val="auto"/>
          <w:sz w:val="22"/>
          <w:szCs w:val="22"/>
        </w:rPr>
        <w:t xml:space="preserve">a </w:t>
      </w:r>
      <w:r w:rsidR="00F27E78">
        <w:rPr>
          <w:rFonts w:asciiTheme="minorHAnsi" w:eastAsiaTheme="minorEastAsia" w:hAnsiTheme="minorHAnsi" w:cstheme="minorBidi"/>
          <w:color w:val="auto"/>
          <w:sz w:val="22"/>
          <w:szCs w:val="22"/>
        </w:rPr>
        <w:t>WF about NR V2X RRM requirement was approved. The open issues about synchronization are listed below.</w:t>
      </w:r>
    </w:p>
    <w:tbl>
      <w:tblPr>
        <w:tblStyle w:val="af4"/>
        <w:tblW w:w="0" w:type="auto"/>
        <w:tblLook w:val="04A0" w:firstRow="1" w:lastRow="0" w:firstColumn="1" w:lastColumn="0" w:noHBand="0" w:noVBand="1"/>
      </w:tblPr>
      <w:tblGrid>
        <w:gridCol w:w="9629"/>
      </w:tblGrid>
      <w:tr w:rsidR="00E27536" w14:paraId="335A1AF8" w14:textId="77777777" w:rsidTr="002270AD">
        <w:tc>
          <w:tcPr>
            <w:tcW w:w="9629" w:type="dxa"/>
          </w:tcPr>
          <w:p w14:paraId="0E806D86" w14:textId="5D5B4646" w:rsidR="003F4C60" w:rsidRPr="003F4C60" w:rsidRDefault="003F4C60" w:rsidP="003F4C60">
            <w:pPr>
              <w:pStyle w:val="Default"/>
              <w:jc w:val="both"/>
              <w:rPr>
                <w:rFonts w:ascii="Times New Roman" w:hAnsi="Times New Roman" w:cs="Times New Roman"/>
                <w:sz w:val="20"/>
              </w:rPr>
            </w:pPr>
            <w:r w:rsidRPr="003F4C60">
              <w:rPr>
                <w:rFonts w:ascii="Times New Roman" w:hAnsi="Times New Roman" w:cs="Times New Roman"/>
                <w:sz w:val="20"/>
              </w:rPr>
              <w:t>RAN4 #93</w:t>
            </w:r>
          </w:p>
          <w:p w14:paraId="1963CE44" w14:textId="77777777" w:rsidR="006D23FF" w:rsidRPr="003F4C60" w:rsidRDefault="002C2465" w:rsidP="003F4C60">
            <w:pPr>
              <w:pStyle w:val="Default"/>
              <w:numPr>
                <w:ilvl w:val="0"/>
                <w:numId w:val="10"/>
              </w:numPr>
              <w:jc w:val="both"/>
              <w:rPr>
                <w:rFonts w:ascii="Times New Roman" w:hAnsi="Times New Roman" w:cs="Times New Roman"/>
                <w:sz w:val="20"/>
              </w:rPr>
            </w:pPr>
            <w:r w:rsidRPr="003F4C60">
              <w:rPr>
                <w:rFonts w:ascii="Times New Roman" w:hAnsi="Times New Roman" w:cs="Times New Roman"/>
                <w:sz w:val="20"/>
                <w:lang w:val="en-GB"/>
              </w:rPr>
              <w:t xml:space="preserve">Study </w:t>
            </w:r>
            <w:r w:rsidRPr="003F4C60">
              <w:rPr>
                <w:rFonts w:ascii="Times New Roman" w:hAnsi="Times New Roman" w:cs="Times New Roman"/>
                <w:sz w:val="20"/>
              </w:rPr>
              <w:t>Ping-Pong effect when gNB is timing reference source</w:t>
            </w:r>
          </w:p>
          <w:p w14:paraId="24ECD47B" w14:textId="77777777" w:rsidR="006D23FF" w:rsidRPr="003F4C60" w:rsidRDefault="002C2465" w:rsidP="003F4C60">
            <w:pPr>
              <w:pStyle w:val="Default"/>
              <w:numPr>
                <w:ilvl w:val="0"/>
                <w:numId w:val="10"/>
              </w:numPr>
              <w:jc w:val="both"/>
              <w:rPr>
                <w:rFonts w:ascii="Times New Roman" w:hAnsi="Times New Roman" w:cs="Times New Roman"/>
                <w:sz w:val="20"/>
              </w:rPr>
            </w:pPr>
            <w:r w:rsidRPr="003F4C60">
              <w:rPr>
                <w:rFonts w:ascii="Times New Roman" w:hAnsi="Times New Roman" w:cs="Times New Roman"/>
                <w:sz w:val="20"/>
              </w:rPr>
              <w:t>RX Dropping Rate for selection/reselection of NR V2X synchronization reference source</w:t>
            </w:r>
          </w:p>
          <w:p w14:paraId="2CA0467E" w14:textId="77777777" w:rsidR="006D23FF" w:rsidRPr="003F4C60" w:rsidRDefault="002C2465" w:rsidP="003F4C60">
            <w:pPr>
              <w:pStyle w:val="Default"/>
              <w:numPr>
                <w:ilvl w:val="0"/>
                <w:numId w:val="10"/>
              </w:numPr>
              <w:jc w:val="both"/>
              <w:rPr>
                <w:rFonts w:ascii="Times New Roman" w:hAnsi="Times New Roman" w:cs="Times New Roman"/>
                <w:sz w:val="20"/>
              </w:rPr>
            </w:pPr>
            <w:r w:rsidRPr="003F4C60">
              <w:rPr>
                <w:rFonts w:ascii="Times New Roman" w:hAnsi="Times New Roman" w:cs="Times New Roman"/>
                <w:sz w:val="20"/>
              </w:rPr>
              <w:t>UE is allowed to drop up to X slots of its V2X data reception per PSBCH monitoring occasion and overall drop rate shall not exceed [0.3%] of its V2X data reception during T</w:t>
            </w:r>
            <w:r w:rsidRPr="003F4C60">
              <w:rPr>
                <w:rFonts w:ascii="Times New Roman" w:hAnsi="Times New Roman" w:cs="Times New Roman"/>
                <w:sz w:val="20"/>
                <w:vertAlign w:val="subscript"/>
              </w:rPr>
              <w:t>detect,SyncRef UE_V2X</w:t>
            </w:r>
            <w:r w:rsidRPr="003F4C60">
              <w:rPr>
                <w:rFonts w:ascii="Times New Roman" w:hAnsi="Times New Roman" w:cs="Times New Roman"/>
                <w:sz w:val="20"/>
              </w:rPr>
              <w:t xml:space="preserve"> for the purpose of selection / reselection to the SyncRef UE</w:t>
            </w:r>
          </w:p>
          <w:p w14:paraId="1BBD1CC4" w14:textId="77777777" w:rsidR="006D23FF" w:rsidRPr="003F4C60" w:rsidRDefault="002C2465" w:rsidP="003F4C60">
            <w:pPr>
              <w:pStyle w:val="Default"/>
              <w:numPr>
                <w:ilvl w:val="1"/>
                <w:numId w:val="10"/>
              </w:numPr>
              <w:jc w:val="both"/>
              <w:rPr>
                <w:rFonts w:ascii="Times New Roman" w:hAnsi="Times New Roman" w:cs="Times New Roman"/>
                <w:sz w:val="20"/>
              </w:rPr>
            </w:pPr>
            <w:r w:rsidRPr="003F4C60">
              <w:rPr>
                <w:rFonts w:ascii="Times New Roman" w:hAnsi="Times New Roman" w:cs="Times New Roman"/>
                <w:sz w:val="20"/>
              </w:rPr>
              <w:t>Define X value in next meeting</w:t>
            </w:r>
          </w:p>
          <w:p w14:paraId="5A50CE21" w14:textId="77777777" w:rsidR="006D23FF" w:rsidRPr="003F4C60" w:rsidRDefault="002C2465" w:rsidP="003F4C60">
            <w:pPr>
              <w:pStyle w:val="Default"/>
              <w:numPr>
                <w:ilvl w:val="0"/>
                <w:numId w:val="10"/>
              </w:numPr>
              <w:jc w:val="both"/>
              <w:rPr>
                <w:rFonts w:ascii="Times New Roman" w:hAnsi="Times New Roman" w:cs="Times New Roman"/>
                <w:sz w:val="20"/>
              </w:rPr>
            </w:pPr>
            <w:r w:rsidRPr="003F4C60">
              <w:rPr>
                <w:rFonts w:ascii="Times New Roman" w:hAnsi="Times New Roman" w:cs="Times New Roman"/>
                <w:sz w:val="20"/>
                <w:lang w:val="en-GB"/>
              </w:rPr>
              <w:t>Initiation/cease SLSS Tx with SyncRef UE as synchronization</w:t>
            </w:r>
          </w:p>
          <w:p w14:paraId="6900B934" w14:textId="77777777" w:rsidR="006D23FF" w:rsidRPr="003F4C60" w:rsidRDefault="002C2465" w:rsidP="003F4C60">
            <w:pPr>
              <w:pStyle w:val="Default"/>
              <w:numPr>
                <w:ilvl w:val="1"/>
                <w:numId w:val="10"/>
              </w:numPr>
              <w:jc w:val="both"/>
              <w:rPr>
                <w:rFonts w:ascii="Times New Roman" w:hAnsi="Times New Roman" w:cs="Times New Roman"/>
                <w:sz w:val="20"/>
              </w:rPr>
            </w:pPr>
            <w:r w:rsidRPr="003F4C60">
              <w:rPr>
                <w:rFonts w:ascii="Times New Roman" w:hAnsi="Times New Roman" w:cs="Times New Roman"/>
                <w:sz w:val="20"/>
                <w:lang w:val="en-GB"/>
              </w:rPr>
              <w:t>Side condition</w:t>
            </w:r>
          </w:p>
          <w:p w14:paraId="5BCDEB56" w14:textId="77777777" w:rsidR="006D23FF" w:rsidRPr="003F4C60" w:rsidRDefault="002C2465" w:rsidP="003F4C60">
            <w:pPr>
              <w:pStyle w:val="Default"/>
              <w:numPr>
                <w:ilvl w:val="2"/>
                <w:numId w:val="10"/>
              </w:numPr>
              <w:jc w:val="both"/>
              <w:rPr>
                <w:rFonts w:ascii="Times New Roman" w:hAnsi="Times New Roman" w:cs="Times New Roman"/>
                <w:sz w:val="20"/>
              </w:rPr>
            </w:pPr>
            <w:r w:rsidRPr="003F4C60">
              <w:rPr>
                <w:rFonts w:ascii="Times New Roman" w:hAnsi="Times New Roman" w:cs="Times New Roman"/>
                <w:sz w:val="20"/>
              </w:rPr>
              <w:t>Option 1 : -6dB same as NR Uu measurement(LTE-V2X measurement)</w:t>
            </w:r>
          </w:p>
          <w:p w14:paraId="05CA2E38" w14:textId="77777777" w:rsidR="006D23FF" w:rsidRPr="003F4C60" w:rsidRDefault="002C2465" w:rsidP="003F4C60">
            <w:pPr>
              <w:pStyle w:val="Default"/>
              <w:numPr>
                <w:ilvl w:val="2"/>
                <w:numId w:val="10"/>
              </w:numPr>
              <w:jc w:val="both"/>
              <w:rPr>
                <w:rFonts w:ascii="Times New Roman" w:hAnsi="Times New Roman" w:cs="Times New Roman"/>
                <w:sz w:val="20"/>
              </w:rPr>
            </w:pPr>
            <w:r w:rsidRPr="003F4C60">
              <w:rPr>
                <w:rFonts w:ascii="Times New Roman" w:hAnsi="Times New Roman" w:cs="Times New Roman"/>
                <w:sz w:val="20"/>
              </w:rPr>
              <w:t>Option 2 : 0dB</w:t>
            </w:r>
          </w:p>
          <w:p w14:paraId="2A665866" w14:textId="11A3DE73" w:rsidR="00B8332B" w:rsidRDefault="003F4C60" w:rsidP="003F4C60">
            <w:pPr>
              <w:pStyle w:val="Default"/>
              <w:numPr>
                <w:ilvl w:val="2"/>
                <w:numId w:val="10"/>
              </w:numPr>
              <w:jc w:val="both"/>
              <w:rPr>
                <w:rFonts w:asciiTheme="minorHAnsi" w:eastAsiaTheme="minorEastAsia" w:hAnsiTheme="minorHAnsi" w:cstheme="minorBidi"/>
                <w:color w:val="auto"/>
                <w:sz w:val="22"/>
                <w:szCs w:val="22"/>
              </w:rPr>
            </w:pPr>
            <w:r w:rsidRPr="003F4C60">
              <w:rPr>
                <w:rFonts w:ascii="Times New Roman" w:hAnsi="Times New Roman" w:cs="Times New Roman"/>
                <w:sz w:val="20"/>
              </w:rPr>
              <w:t>Other options are not precluded</w:t>
            </w:r>
          </w:p>
        </w:tc>
      </w:tr>
    </w:tbl>
    <w:p w14:paraId="22C974BC" w14:textId="77777777" w:rsidR="00E27536" w:rsidRDefault="00E27536" w:rsidP="00E27536">
      <w:pPr>
        <w:pStyle w:val="Default"/>
        <w:jc w:val="both"/>
        <w:rPr>
          <w:rFonts w:asciiTheme="minorHAnsi" w:eastAsiaTheme="minorEastAsia" w:hAnsiTheme="minorHAnsi" w:cstheme="minorBidi"/>
          <w:color w:val="auto"/>
          <w:sz w:val="22"/>
          <w:szCs w:val="22"/>
        </w:rPr>
      </w:pPr>
    </w:p>
    <w:p w14:paraId="25902591" w14:textId="416F007D" w:rsidR="00E27536" w:rsidRPr="00842EE0"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will discuss </w:t>
      </w:r>
      <w:r w:rsidR="00B8332B">
        <w:rPr>
          <w:rFonts w:asciiTheme="minorHAnsi" w:eastAsiaTheme="minorEastAsia" w:hAnsiTheme="minorHAnsi" w:cstheme="minorBidi"/>
          <w:color w:val="auto"/>
          <w:sz w:val="22"/>
          <w:szCs w:val="22"/>
        </w:rPr>
        <w:t>on the above open issues about synchronization</w:t>
      </w:r>
      <w:r w:rsidR="00AF429C">
        <w:rPr>
          <w:rFonts w:asciiTheme="minorHAnsi" w:eastAsiaTheme="minorEastAsia" w:hAnsiTheme="minorHAnsi" w:cstheme="minorBidi"/>
          <w:color w:val="auto"/>
          <w:sz w:val="22"/>
          <w:szCs w:val="22"/>
        </w:rPr>
        <w:t>.</w:t>
      </w:r>
    </w:p>
    <w:p w14:paraId="36ABC116" w14:textId="070A91A7" w:rsidR="009A0141" w:rsidRDefault="009A0141" w:rsidP="005C54FF">
      <w:pPr>
        <w:pStyle w:val="1"/>
        <w:numPr>
          <w:ilvl w:val="0"/>
          <w:numId w:val="1"/>
        </w:numPr>
        <w:rPr>
          <w:rFonts w:ascii="Calibri" w:hAnsi="Calibri"/>
        </w:rPr>
      </w:pPr>
      <w:r>
        <w:rPr>
          <w:rFonts w:ascii="Calibri" w:hAnsi="Calibri"/>
        </w:rPr>
        <w:t>Terminology</w:t>
      </w:r>
    </w:p>
    <w:p w14:paraId="3B8271A2" w14:textId="2467AA01" w:rsidR="009A0141" w:rsidRDefault="009A0141" w:rsidP="00B313BA">
      <w:pPr>
        <w:jc w:val="both"/>
        <w:rPr>
          <w:lang w:val="en-GB" w:eastAsia="en-US"/>
        </w:rPr>
      </w:pPr>
      <w:r>
        <w:rPr>
          <w:lang w:val="en-GB" w:eastAsia="en-US"/>
        </w:rPr>
        <w:t>In legacy LTE, there are several requirements defined with different terminology, such as V2V, V2X etc. However, in NR R16, the unified terminology sidelink was used in RAN1 spec. Thus, RAN4 shall follow the same terminology to use sidelink to replace V2X in RAN4’s requirement.</w:t>
      </w:r>
    </w:p>
    <w:p w14:paraId="5337F2BA" w14:textId="48ABCCDA" w:rsidR="009A0141" w:rsidRPr="009A0141" w:rsidRDefault="009A0141" w:rsidP="009A0141">
      <w:pPr>
        <w:rPr>
          <w:lang w:val="en-GB" w:eastAsia="en-US"/>
        </w:rPr>
      </w:pPr>
      <w:bookmarkStart w:id="1" w:name="_Ref30692757"/>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A52CBA">
        <w:rPr>
          <w:b/>
          <w:i/>
          <w:noProof/>
        </w:rPr>
        <w:t>1</w:t>
      </w:r>
      <w:r w:rsidRPr="006A555B">
        <w:rPr>
          <w:b/>
          <w:i/>
        </w:rPr>
        <w:fldChar w:fldCharType="end"/>
      </w:r>
      <w:r w:rsidRPr="006A555B">
        <w:rPr>
          <w:b/>
          <w:i/>
        </w:rPr>
        <w:t>:</w:t>
      </w:r>
      <w:r>
        <w:rPr>
          <w:b/>
          <w:i/>
        </w:rPr>
        <w:t xml:space="preserve"> Use </w:t>
      </w:r>
      <w:r w:rsidRPr="009A0141">
        <w:rPr>
          <w:b/>
          <w:i/>
        </w:rPr>
        <w:t>terminology</w:t>
      </w:r>
      <w:r>
        <w:rPr>
          <w:b/>
          <w:i/>
        </w:rPr>
        <w:t xml:space="preserve"> ‘sidelink’ </w:t>
      </w:r>
      <w:r w:rsidRPr="009A0141">
        <w:rPr>
          <w:b/>
          <w:i/>
        </w:rPr>
        <w:t xml:space="preserve">to replace </w:t>
      </w:r>
      <w:r>
        <w:rPr>
          <w:b/>
          <w:i/>
        </w:rPr>
        <w:t>‘</w:t>
      </w:r>
      <w:r w:rsidRPr="009A0141">
        <w:rPr>
          <w:b/>
          <w:i/>
        </w:rPr>
        <w:t>V2X</w:t>
      </w:r>
      <w:r>
        <w:rPr>
          <w:b/>
          <w:i/>
        </w:rPr>
        <w:t>’</w:t>
      </w:r>
      <w:r w:rsidRPr="009A0141">
        <w:rPr>
          <w:b/>
          <w:i/>
        </w:rPr>
        <w:t xml:space="preserve"> in </w:t>
      </w:r>
      <w:r>
        <w:rPr>
          <w:b/>
          <w:i/>
        </w:rPr>
        <w:t xml:space="preserve">all </w:t>
      </w:r>
      <w:r w:rsidRPr="009A0141">
        <w:rPr>
          <w:b/>
          <w:i/>
        </w:rPr>
        <w:t xml:space="preserve">RAN4’s </w:t>
      </w:r>
      <w:r>
        <w:rPr>
          <w:b/>
          <w:i/>
        </w:rPr>
        <w:t xml:space="preserve">sidelink </w:t>
      </w:r>
      <w:r w:rsidRPr="009A0141">
        <w:rPr>
          <w:b/>
          <w:i/>
        </w:rPr>
        <w:t>requirement</w:t>
      </w:r>
      <w:r>
        <w:rPr>
          <w:b/>
          <w:i/>
        </w:rPr>
        <w:t>.</w:t>
      </w:r>
      <w:bookmarkEnd w:id="1"/>
      <w:r>
        <w:rPr>
          <w:b/>
          <w:i/>
        </w:rPr>
        <w:t xml:space="preserve"> </w:t>
      </w:r>
    </w:p>
    <w:p w14:paraId="37AD4FB7" w14:textId="1EC40C41" w:rsidR="006A555B" w:rsidRDefault="006A555B" w:rsidP="005C54FF">
      <w:pPr>
        <w:pStyle w:val="1"/>
        <w:numPr>
          <w:ilvl w:val="0"/>
          <w:numId w:val="1"/>
        </w:numPr>
        <w:rPr>
          <w:rFonts w:ascii="Calibri" w:hAnsi="Calibri"/>
        </w:rPr>
      </w:pPr>
      <w:r w:rsidRPr="006A555B">
        <w:rPr>
          <w:rFonts w:ascii="Calibri" w:hAnsi="Calibri"/>
        </w:rPr>
        <w:t xml:space="preserve">Ping-Pong effect when gNB </w:t>
      </w:r>
      <w:r w:rsidR="003F4C60">
        <w:rPr>
          <w:rFonts w:ascii="Calibri" w:hAnsi="Calibri"/>
        </w:rPr>
        <w:t>is timing reference source</w:t>
      </w:r>
    </w:p>
    <w:p w14:paraId="477D8675" w14:textId="2F5C4CF2" w:rsidR="00D37C19" w:rsidRDefault="003F4C60" w:rsidP="00A71FC3">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W</w:t>
      </w:r>
      <w:r w:rsidR="00A71FC3" w:rsidRPr="00A71FC3">
        <w:rPr>
          <w:rFonts w:asciiTheme="minorHAnsi" w:eastAsiaTheme="minorEastAsia" w:hAnsiTheme="minorHAnsi" w:cstheme="minorBidi"/>
          <w:color w:val="auto"/>
          <w:sz w:val="22"/>
          <w:szCs w:val="22"/>
        </w:rPr>
        <w:t xml:space="preserve">hen the </w:t>
      </w:r>
      <w:r w:rsidR="00255AE4">
        <w:rPr>
          <w:rFonts w:asciiTheme="minorHAnsi" w:eastAsiaTheme="minorEastAsia" w:hAnsiTheme="minorHAnsi" w:cstheme="minorBidi"/>
          <w:color w:val="auto"/>
          <w:sz w:val="22"/>
          <w:szCs w:val="22"/>
        </w:rPr>
        <w:t xml:space="preserve">measured </w:t>
      </w:r>
      <w:r w:rsidR="00A71FC3" w:rsidRPr="00A71FC3">
        <w:rPr>
          <w:rFonts w:asciiTheme="minorHAnsi" w:eastAsiaTheme="minorEastAsia" w:hAnsiTheme="minorHAnsi" w:cstheme="minorBidi"/>
          <w:color w:val="auto"/>
          <w:sz w:val="22"/>
          <w:szCs w:val="22"/>
        </w:rPr>
        <w:t xml:space="preserve">RSRP of the </w:t>
      </w:r>
      <w:r w:rsidR="00391BE0">
        <w:rPr>
          <w:rFonts w:asciiTheme="minorHAnsi" w:eastAsiaTheme="minorEastAsia" w:hAnsiTheme="minorHAnsi" w:cstheme="minorBidi"/>
          <w:color w:val="auto"/>
          <w:sz w:val="22"/>
          <w:szCs w:val="22"/>
        </w:rPr>
        <w:t>sync source</w:t>
      </w:r>
      <w:r w:rsidR="00391BE0" w:rsidRPr="00A71FC3" w:rsidDel="00391BE0">
        <w:rPr>
          <w:rFonts w:asciiTheme="minorHAnsi" w:eastAsiaTheme="minorEastAsia" w:hAnsiTheme="minorHAnsi" w:cstheme="minorBidi"/>
          <w:color w:val="auto"/>
          <w:sz w:val="22"/>
          <w:szCs w:val="22"/>
        </w:rPr>
        <w:t xml:space="preserve"> </w:t>
      </w:r>
      <w:r w:rsidR="00A71FC3" w:rsidRPr="00B313BA">
        <w:rPr>
          <w:rFonts w:asciiTheme="minorHAnsi" w:eastAsiaTheme="minorEastAsia" w:hAnsiTheme="minorHAnsi" w:cstheme="minorBidi"/>
          <w:color w:val="auto"/>
          <w:sz w:val="22"/>
          <w:szCs w:val="22"/>
        </w:rPr>
        <w:t>for transmission of sidelink communication</w:t>
      </w:r>
      <w:r w:rsidR="00ED3334">
        <w:rPr>
          <w:rFonts w:asciiTheme="minorHAnsi" w:eastAsiaTheme="minorEastAsia" w:hAnsiTheme="minorHAnsi" w:cstheme="minorBidi"/>
          <w:color w:val="auto"/>
          <w:sz w:val="22"/>
          <w:szCs w:val="22"/>
        </w:rPr>
        <w:t xml:space="preserve"> </w:t>
      </w:r>
      <w:r w:rsidR="00A71FC3" w:rsidRPr="00A71FC3">
        <w:rPr>
          <w:rFonts w:asciiTheme="minorHAnsi" w:eastAsiaTheme="minorEastAsia" w:hAnsiTheme="minorHAnsi" w:cstheme="minorBidi"/>
          <w:color w:val="auto"/>
          <w:sz w:val="22"/>
          <w:szCs w:val="22"/>
        </w:rPr>
        <w:t xml:space="preserve">is below the level indicated by </w:t>
      </w:r>
      <w:r w:rsidR="00A71FC3">
        <w:rPr>
          <w:rFonts w:asciiTheme="minorHAnsi" w:eastAsiaTheme="minorEastAsia" w:hAnsiTheme="minorHAnsi" w:cstheme="minorBidi"/>
          <w:color w:val="auto"/>
          <w:sz w:val="22"/>
          <w:szCs w:val="22"/>
        </w:rPr>
        <w:t>RRC signalling</w:t>
      </w:r>
      <w:r w:rsidR="00A71FC3" w:rsidRPr="00A71FC3">
        <w:rPr>
          <w:rFonts w:asciiTheme="minorHAnsi" w:eastAsiaTheme="minorEastAsia" w:hAnsiTheme="minorHAnsi" w:cstheme="minorBidi"/>
          <w:color w:val="auto"/>
          <w:sz w:val="22"/>
          <w:szCs w:val="22"/>
        </w:rPr>
        <w:t>, the UE may transmit SLSS</w:t>
      </w:r>
      <w:r w:rsidR="00A71FC3">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Although the evaluation requirement is extended to obtain better </w:t>
      </w:r>
      <w:r w:rsidR="00301525">
        <w:rPr>
          <w:rFonts w:asciiTheme="minorHAnsi" w:eastAsiaTheme="minorEastAsia" w:hAnsiTheme="minorHAnsi" w:cstheme="minorBidi"/>
          <w:color w:val="auto"/>
          <w:sz w:val="22"/>
          <w:szCs w:val="22"/>
        </w:rPr>
        <w:t>measurement robust</w:t>
      </w:r>
      <w:r w:rsidR="00ED3334">
        <w:rPr>
          <w:rFonts w:asciiTheme="minorHAnsi" w:eastAsiaTheme="minorEastAsia" w:hAnsiTheme="minorHAnsi" w:cstheme="minorBidi"/>
          <w:color w:val="auto"/>
          <w:sz w:val="22"/>
          <w:szCs w:val="22"/>
        </w:rPr>
        <w:t>ness</w:t>
      </w:r>
      <w:r w:rsidR="00301525">
        <w:rPr>
          <w:rFonts w:asciiTheme="minorHAnsi" w:eastAsiaTheme="minorEastAsia" w:hAnsiTheme="minorHAnsi" w:cstheme="minorBidi"/>
          <w:color w:val="auto"/>
          <w:sz w:val="22"/>
          <w:szCs w:val="22"/>
        </w:rPr>
        <w:t>, h</w:t>
      </w:r>
      <w:r w:rsidR="00A71FC3">
        <w:rPr>
          <w:rFonts w:asciiTheme="minorHAnsi" w:eastAsiaTheme="minorEastAsia" w:hAnsiTheme="minorHAnsi" w:cstheme="minorBidi"/>
          <w:color w:val="auto"/>
          <w:sz w:val="22"/>
          <w:szCs w:val="22"/>
        </w:rPr>
        <w:t xml:space="preserve">owever, due to measurement uncertainty, the </w:t>
      </w:r>
      <w:r w:rsidR="00301525">
        <w:rPr>
          <w:rFonts w:asciiTheme="minorHAnsi" w:eastAsiaTheme="minorEastAsia" w:hAnsiTheme="minorHAnsi" w:cstheme="minorBidi"/>
          <w:color w:val="auto"/>
          <w:sz w:val="22"/>
          <w:szCs w:val="22"/>
        </w:rPr>
        <w:t xml:space="preserve">averaged </w:t>
      </w:r>
      <w:r w:rsidR="00A71FC3">
        <w:rPr>
          <w:rFonts w:asciiTheme="minorHAnsi" w:eastAsiaTheme="minorEastAsia" w:hAnsiTheme="minorHAnsi" w:cstheme="minorBidi"/>
          <w:color w:val="auto"/>
          <w:sz w:val="22"/>
          <w:szCs w:val="22"/>
        </w:rPr>
        <w:t xml:space="preserve">RSRP value </w:t>
      </w:r>
      <w:r w:rsidR="00157859">
        <w:rPr>
          <w:rFonts w:asciiTheme="minorHAnsi" w:eastAsiaTheme="minorEastAsia" w:hAnsiTheme="minorHAnsi" w:cstheme="minorBidi"/>
          <w:color w:val="auto"/>
          <w:sz w:val="22"/>
          <w:szCs w:val="22"/>
        </w:rPr>
        <w:t xml:space="preserve">may </w:t>
      </w:r>
      <w:r w:rsidR="00A71FC3">
        <w:rPr>
          <w:rFonts w:asciiTheme="minorHAnsi" w:eastAsiaTheme="minorEastAsia" w:hAnsiTheme="minorHAnsi" w:cstheme="minorBidi"/>
          <w:color w:val="auto"/>
          <w:sz w:val="22"/>
          <w:szCs w:val="22"/>
        </w:rPr>
        <w:t>be sometimes better than the threshold</w:t>
      </w:r>
      <w:r w:rsidR="00ED3334">
        <w:rPr>
          <w:rFonts w:asciiTheme="minorHAnsi" w:eastAsiaTheme="minorEastAsia" w:hAnsiTheme="minorHAnsi" w:cstheme="minorBidi"/>
          <w:color w:val="auto"/>
          <w:sz w:val="22"/>
          <w:szCs w:val="22"/>
        </w:rPr>
        <w:t xml:space="preserve"> and </w:t>
      </w:r>
      <w:r w:rsidR="00A71FC3">
        <w:rPr>
          <w:rFonts w:asciiTheme="minorHAnsi" w:eastAsiaTheme="minorEastAsia" w:hAnsiTheme="minorHAnsi" w:cstheme="minorBidi"/>
          <w:color w:val="auto"/>
          <w:sz w:val="22"/>
          <w:szCs w:val="22"/>
        </w:rPr>
        <w:t>sometimes worse</w:t>
      </w:r>
      <w:r w:rsidR="00A71FC3" w:rsidRPr="00A71FC3">
        <w:rPr>
          <w:rFonts w:asciiTheme="minorHAnsi" w:eastAsiaTheme="minorEastAsia" w:hAnsiTheme="minorHAnsi" w:cstheme="minorBidi"/>
          <w:color w:val="auto"/>
          <w:sz w:val="22"/>
          <w:szCs w:val="22"/>
        </w:rPr>
        <w:t xml:space="preserve"> </w:t>
      </w:r>
      <w:r w:rsidR="00A71FC3">
        <w:rPr>
          <w:rFonts w:asciiTheme="minorHAnsi" w:eastAsiaTheme="minorEastAsia" w:hAnsiTheme="minorHAnsi" w:cstheme="minorBidi"/>
          <w:color w:val="auto"/>
          <w:sz w:val="22"/>
          <w:szCs w:val="22"/>
        </w:rPr>
        <w:t xml:space="preserve">than the threshold. </w:t>
      </w:r>
      <w:r w:rsidR="00A71FC3" w:rsidRPr="00A71FC3">
        <w:rPr>
          <w:rFonts w:asciiTheme="minorHAnsi" w:eastAsiaTheme="minorEastAsia" w:hAnsiTheme="minorHAnsi" w:cstheme="minorBidi"/>
          <w:color w:val="auto"/>
          <w:sz w:val="22"/>
          <w:szCs w:val="22"/>
        </w:rPr>
        <w:t xml:space="preserve">Therefore, sidelink UE may suffer Ping-Pong effect between transmitting </w:t>
      </w:r>
      <w:r w:rsidR="00ED3334">
        <w:rPr>
          <w:rFonts w:asciiTheme="minorHAnsi" w:eastAsiaTheme="minorEastAsia" w:hAnsiTheme="minorHAnsi" w:cstheme="minorBidi"/>
          <w:color w:val="auto"/>
          <w:sz w:val="22"/>
          <w:szCs w:val="22"/>
        </w:rPr>
        <w:t>and</w:t>
      </w:r>
      <w:r w:rsidR="00ED3334" w:rsidRPr="00A71FC3">
        <w:rPr>
          <w:rFonts w:asciiTheme="minorHAnsi" w:eastAsiaTheme="minorEastAsia" w:hAnsiTheme="minorHAnsi" w:cstheme="minorBidi"/>
          <w:color w:val="auto"/>
          <w:sz w:val="22"/>
          <w:szCs w:val="22"/>
        </w:rPr>
        <w:t xml:space="preserve"> </w:t>
      </w:r>
      <w:r w:rsidR="00A71FC3" w:rsidRPr="00A71FC3">
        <w:rPr>
          <w:rFonts w:asciiTheme="minorHAnsi" w:eastAsiaTheme="minorEastAsia" w:hAnsiTheme="minorHAnsi" w:cstheme="minorBidi"/>
          <w:color w:val="auto"/>
          <w:sz w:val="22"/>
          <w:szCs w:val="22"/>
        </w:rPr>
        <w:t>not transmitting SLSS Tx</w:t>
      </w:r>
      <w:r w:rsidR="00A71FC3">
        <w:rPr>
          <w:rFonts w:asciiTheme="minorHAnsi" w:eastAsiaTheme="minorEastAsia" w:hAnsiTheme="minorHAnsi" w:cstheme="minorBidi"/>
          <w:color w:val="auto"/>
          <w:sz w:val="22"/>
          <w:szCs w:val="22"/>
        </w:rPr>
        <w:t xml:space="preserve">. </w:t>
      </w:r>
    </w:p>
    <w:p w14:paraId="0C35A4EA" w14:textId="6858444D" w:rsidR="00730B04" w:rsidRPr="006A555B" w:rsidRDefault="00730B04" w:rsidP="00730B04">
      <w:pPr>
        <w:spacing w:before="120"/>
        <w:jc w:val="both"/>
        <w:rPr>
          <w:b/>
          <w:i/>
        </w:rPr>
      </w:pPr>
      <w:bookmarkStart w:id="2" w:name="_Ref20669724"/>
      <w:r w:rsidRPr="00DD4B4B">
        <w:rPr>
          <w:b/>
          <w:i/>
        </w:rPr>
        <w:t xml:space="preserve">Observation </w:t>
      </w:r>
      <w:r w:rsidRPr="00DD4B4B">
        <w:rPr>
          <w:b/>
          <w:i/>
        </w:rPr>
        <w:fldChar w:fldCharType="begin"/>
      </w:r>
      <w:r w:rsidRPr="00DD4B4B">
        <w:rPr>
          <w:b/>
          <w:i/>
        </w:rPr>
        <w:instrText xml:space="preserve"> SEQ Observation \* ARABIC </w:instrText>
      </w:r>
      <w:r w:rsidRPr="00DD4B4B">
        <w:rPr>
          <w:b/>
          <w:i/>
        </w:rPr>
        <w:fldChar w:fldCharType="separate"/>
      </w:r>
      <w:r w:rsidR="00A52CBA">
        <w:rPr>
          <w:b/>
          <w:i/>
          <w:noProof/>
        </w:rPr>
        <w:t>1</w:t>
      </w:r>
      <w:r w:rsidRPr="00DD4B4B">
        <w:rPr>
          <w:b/>
          <w:i/>
        </w:rPr>
        <w:fldChar w:fldCharType="end"/>
      </w:r>
      <w:r w:rsidRPr="00DD4B4B">
        <w:rPr>
          <w:b/>
          <w:i/>
        </w:rPr>
        <w:t>:</w:t>
      </w:r>
      <w:r w:rsidRPr="006A555B">
        <w:rPr>
          <w:b/>
          <w:i/>
        </w:rPr>
        <w:t xml:space="preserve"> From RAN4’s view, the </w:t>
      </w:r>
      <w:r>
        <w:rPr>
          <w:b/>
          <w:i/>
        </w:rPr>
        <w:t>measurement uncertainty will result in ping-pong initiation of SLSS transmission</w:t>
      </w:r>
      <w:r w:rsidRPr="006A555B">
        <w:rPr>
          <w:b/>
          <w:i/>
        </w:rPr>
        <w:t>.</w:t>
      </w:r>
      <w:bookmarkEnd w:id="2"/>
    </w:p>
    <w:p w14:paraId="2797683D" w14:textId="0300B8EF" w:rsidR="00D37C19" w:rsidRDefault="00D37C19" w:rsidP="00D37C19">
      <w:pPr>
        <w:jc w:val="both"/>
        <w:rPr>
          <w:rFonts w:eastAsia="宋体"/>
          <w:sz w:val="21"/>
          <w:szCs w:val="21"/>
        </w:rPr>
      </w:pPr>
      <w:r>
        <w:t xml:space="preserve">In NR IDLE </w:t>
      </w:r>
      <w:r>
        <w:rPr>
          <w:rFonts w:hint="eastAsia"/>
        </w:rPr>
        <w:t>mode</w:t>
      </w:r>
      <w:r>
        <w:t xml:space="preserve">, </w:t>
      </w:r>
      <w:r w:rsidR="00301525">
        <w:t xml:space="preserve">although the evaluation period is even </w:t>
      </w:r>
      <w:r w:rsidR="00C82F17">
        <w:t xml:space="preserve">16 DRX periods, </w:t>
      </w:r>
      <w:r w:rsidR="00C82F17">
        <w:rPr>
          <w:lang w:val="en-GB" w:eastAsia="en-US"/>
        </w:rPr>
        <w:t xml:space="preserve">the </w:t>
      </w:r>
      <w:r>
        <w:rPr>
          <w:lang w:val="en-GB" w:eastAsia="en-US"/>
        </w:rPr>
        <w:t xml:space="preserve">measurement margin is </w:t>
      </w:r>
      <w:r w:rsidR="00C82F17">
        <w:rPr>
          <w:lang w:val="en-GB" w:eastAsia="en-US"/>
        </w:rPr>
        <w:t xml:space="preserve">still </w:t>
      </w:r>
      <w:r>
        <w:rPr>
          <w:lang w:val="en-GB" w:eastAsia="en-US"/>
        </w:rPr>
        <w:t>added to avoid the ping-pong selection between serving cell and target best cell because of measurement uncertainty</w:t>
      </w:r>
      <w:r>
        <w:rPr>
          <w:rFonts w:eastAsia="宋体"/>
          <w:sz w:val="21"/>
          <w:szCs w:val="21"/>
        </w:rPr>
        <w:t xml:space="preserve">. </w:t>
      </w:r>
      <w:r w:rsidRPr="00115B65">
        <w:rPr>
          <w:lang w:val="en-GB" w:eastAsia="en-US"/>
        </w:rPr>
        <w:t>For example, in Figure 1, when the cell’s R</w:t>
      </w:r>
      <w:r>
        <w:rPr>
          <w:lang w:val="en-GB" w:eastAsia="en-US"/>
        </w:rPr>
        <w:t>SRP value</w:t>
      </w:r>
      <w:r w:rsidRPr="00115B65">
        <w:rPr>
          <w:lang w:val="en-GB" w:eastAsia="en-US"/>
        </w:rPr>
        <w:t xml:space="preserve"> is less than </w:t>
      </w:r>
      <w:r>
        <w:rPr>
          <w:lang w:val="en-GB" w:eastAsia="en-US"/>
        </w:rPr>
        <w:t xml:space="preserve">measurement uncertainty plus serving cell’s RSRP </w:t>
      </w:r>
      <w:r w:rsidR="001E1CCF">
        <w:rPr>
          <w:lang w:val="en-GB" w:eastAsia="en-US"/>
        </w:rPr>
        <w:t>threshold</w:t>
      </w:r>
      <w:r>
        <w:rPr>
          <w:lang w:val="en-GB" w:eastAsia="en-US"/>
        </w:rPr>
        <w:t xml:space="preserve">, such as cell 1, the UE won’t reselect to this target cell. </w:t>
      </w:r>
    </w:p>
    <w:p w14:paraId="7686B49D" w14:textId="77777777" w:rsidR="00D37C19" w:rsidRDefault="00D37C19" w:rsidP="00D37C19">
      <w:pPr>
        <w:jc w:val="center"/>
      </w:pPr>
      <w:r>
        <w:object w:dxaOrig="4741" w:dyaOrig="2011" w14:anchorId="72079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01.9pt" o:ole="">
            <v:imagedata r:id="rId8" o:title=""/>
          </v:shape>
          <o:OLEObject Type="Embed" ProgID="Visio.Drawing.15" ShapeID="_x0000_i1025" DrawAspect="Content" ObjectID="_1643199737" r:id="rId9"/>
        </w:object>
      </w:r>
    </w:p>
    <w:p w14:paraId="28CBDDAD" w14:textId="77777777" w:rsidR="00D37C19" w:rsidRDefault="00D37C19" w:rsidP="00D37C19">
      <w:pPr>
        <w:jc w:val="center"/>
        <w:rPr>
          <w:rFonts w:eastAsia="宋体"/>
          <w:sz w:val="21"/>
          <w:szCs w:val="21"/>
        </w:rPr>
      </w:pPr>
      <w:r w:rsidRPr="00437A25">
        <w:t xml:space="preserve">Figure </w:t>
      </w:r>
      <w:r>
        <w:rPr>
          <w:noProof/>
        </w:rPr>
        <w:fldChar w:fldCharType="begin"/>
      </w:r>
      <w:r>
        <w:rPr>
          <w:noProof/>
        </w:rPr>
        <w:instrText xml:space="preserve"> SEQ Figure \* ARABIC </w:instrText>
      </w:r>
      <w:r>
        <w:rPr>
          <w:noProof/>
        </w:rPr>
        <w:fldChar w:fldCharType="separate"/>
      </w:r>
      <w:r w:rsidR="00A52CBA">
        <w:rPr>
          <w:noProof/>
        </w:rPr>
        <w:t>1</w:t>
      </w:r>
      <w:r>
        <w:rPr>
          <w:noProof/>
        </w:rPr>
        <w:fldChar w:fldCharType="end"/>
      </w:r>
      <w:r w:rsidRPr="00437A25">
        <w:t>.</w:t>
      </w:r>
      <w:r>
        <w:t xml:space="preserve"> Cell reselection when </w:t>
      </w:r>
      <w:r w:rsidRPr="00C950A9">
        <w:t>rangeToBestCell</w:t>
      </w:r>
      <w:r w:rsidRPr="00A500E3">
        <w:t xml:space="preserve"> is not configured</w:t>
      </w:r>
      <w:r>
        <w:t xml:space="preserve"> </w:t>
      </w:r>
    </w:p>
    <w:p w14:paraId="22F50E5B" w14:textId="316AE60B" w:rsidR="00D37C19" w:rsidRPr="00D37C19" w:rsidRDefault="00D37C19" w:rsidP="00D37C19">
      <w:pPr>
        <w:spacing w:before="120"/>
        <w:jc w:val="both"/>
        <w:rPr>
          <w:b/>
          <w:i/>
        </w:rPr>
      </w:pPr>
      <w:bookmarkStart w:id="3" w:name="_Ref536692254"/>
      <w:r w:rsidRPr="00D37C19">
        <w:rPr>
          <w:b/>
          <w:i/>
        </w:rPr>
        <w:t xml:space="preserve">Observation </w:t>
      </w:r>
      <w:r w:rsidRPr="00D37C19">
        <w:rPr>
          <w:b/>
          <w:i/>
        </w:rPr>
        <w:fldChar w:fldCharType="begin"/>
      </w:r>
      <w:r w:rsidRPr="00D37C19">
        <w:rPr>
          <w:b/>
          <w:i/>
        </w:rPr>
        <w:instrText xml:space="preserve"> SEQ Observation \* ARABIC </w:instrText>
      </w:r>
      <w:r w:rsidRPr="00D37C19">
        <w:rPr>
          <w:b/>
          <w:i/>
        </w:rPr>
        <w:fldChar w:fldCharType="separate"/>
      </w:r>
      <w:r w:rsidR="00A52CBA">
        <w:rPr>
          <w:b/>
          <w:i/>
          <w:noProof/>
        </w:rPr>
        <w:t>2</w:t>
      </w:r>
      <w:r w:rsidRPr="00D37C19">
        <w:rPr>
          <w:b/>
          <w:i/>
        </w:rPr>
        <w:fldChar w:fldCharType="end"/>
      </w:r>
      <w:r w:rsidRPr="00D37C19">
        <w:rPr>
          <w:b/>
          <w:i/>
        </w:rPr>
        <w:t xml:space="preserve">: </w:t>
      </w:r>
      <w:r>
        <w:rPr>
          <w:b/>
          <w:i/>
        </w:rPr>
        <w:t>In NR IDLE mode, a</w:t>
      </w:r>
      <w:r w:rsidRPr="00D37C19">
        <w:rPr>
          <w:b/>
          <w:i/>
        </w:rPr>
        <w:t xml:space="preserve"> measurement margin </w:t>
      </w:r>
      <w:r w:rsidR="00C82F17">
        <w:rPr>
          <w:b/>
          <w:i/>
        </w:rPr>
        <w:t xml:space="preserve">is </w:t>
      </w:r>
      <w:r w:rsidRPr="00D37C19">
        <w:rPr>
          <w:b/>
          <w:i/>
        </w:rPr>
        <w:t>added to the R</w:t>
      </w:r>
      <w:r>
        <w:rPr>
          <w:b/>
          <w:i/>
        </w:rPr>
        <w:t>SRP</w:t>
      </w:r>
      <w:r w:rsidRPr="00D37C19">
        <w:rPr>
          <w:b/>
          <w:i/>
        </w:rPr>
        <w:t xml:space="preserve"> velue to avoid the ping-p</w:t>
      </w:r>
      <w:r>
        <w:rPr>
          <w:b/>
          <w:i/>
        </w:rPr>
        <w:t>o</w:t>
      </w:r>
      <w:r w:rsidRPr="00D37C19">
        <w:rPr>
          <w:b/>
          <w:i/>
        </w:rPr>
        <w:t>ng selection between serving cell and target best cell.</w:t>
      </w:r>
      <w:bookmarkEnd w:id="3"/>
    </w:p>
    <w:p w14:paraId="6B9058A7" w14:textId="12CA8EBE" w:rsidR="00F560D0" w:rsidRPr="004B1BC6" w:rsidRDefault="00A71FC3" w:rsidP="00A71FC3">
      <w:pPr>
        <w:pStyle w:val="Default"/>
        <w:jc w:val="both"/>
        <w:rPr>
          <w:rFonts w:asciiTheme="minorHAnsi" w:eastAsiaTheme="minorEastAsia" w:hAnsiTheme="minorHAnsi" w:cstheme="minorBidi"/>
          <w:color w:val="auto"/>
          <w:sz w:val="22"/>
          <w:szCs w:val="22"/>
        </w:rPr>
      </w:pPr>
      <w:r w:rsidRPr="004B1BC6">
        <w:rPr>
          <w:rFonts w:asciiTheme="minorHAnsi" w:eastAsiaTheme="minorEastAsia" w:hAnsiTheme="minorHAnsi" w:cstheme="minorBidi"/>
          <w:color w:val="auto"/>
          <w:sz w:val="22"/>
          <w:szCs w:val="22"/>
        </w:rPr>
        <w:t xml:space="preserve">Similarly as the </w:t>
      </w:r>
      <w:r w:rsidR="00C82F17" w:rsidRPr="004B1BC6">
        <w:rPr>
          <w:rFonts w:asciiTheme="minorHAnsi" w:eastAsiaTheme="minorEastAsia" w:hAnsiTheme="minorHAnsi" w:cstheme="minorBidi"/>
          <w:color w:val="auto"/>
          <w:sz w:val="22"/>
          <w:szCs w:val="22"/>
        </w:rPr>
        <w:t xml:space="preserve">NR Uu </w:t>
      </w:r>
      <w:r w:rsidRPr="004B1BC6">
        <w:rPr>
          <w:rFonts w:asciiTheme="minorHAnsi" w:eastAsiaTheme="minorEastAsia" w:hAnsiTheme="minorHAnsi" w:cstheme="minorBidi"/>
          <w:color w:val="auto"/>
          <w:sz w:val="22"/>
          <w:szCs w:val="22"/>
        </w:rPr>
        <w:t>IDLE mode requirement, a r</w:t>
      </w:r>
      <w:r w:rsidR="00F560D0" w:rsidRPr="004B1BC6">
        <w:rPr>
          <w:rFonts w:asciiTheme="minorHAnsi" w:eastAsiaTheme="minorEastAsia" w:hAnsiTheme="minorHAnsi" w:cstheme="minorBidi"/>
          <w:color w:val="auto"/>
          <w:sz w:val="22"/>
          <w:szCs w:val="22"/>
        </w:rPr>
        <w:t>obust</w:t>
      </w:r>
      <w:r w:rsidRPr="004B1BC6">
        <w:rPr>
          <w:rFonts w:asciiTheme="minorHAnsi" w:eastAsiaTheme="minorEastAsia" w:hAnsiTheme="minorHAnsi" w:cstheme="minorBidi"/>
          <w:color w:val="auto"/>
          <w:sz w:val="22"/>
          <w:szCs w:val="22"/>
        </w:rPr>
        <w:t xml:space="preserve"> solution is to add a measurement margin to this RSRP results</w:t>
      </w:r>
      <w:r w:rsidR="00D37C19" w:rsidRPr="004B1BC6">
        <w:rPr>
          <w:rFonts w:asciiTheme="minorHAnsi" w:eastAsiaTheme="minorEastAsia" w:hAnsiTheme="minorHAnsi" w:cstheme="minorBidi"/>
          <w:color w:val="auto"/>
          <w:sz w:val="22"/>
          <w:szCs w:val="22"/>
        </w:rPr>
        <w:t xml:space="preserve"> in NR V2X</w:t>
      </w:r>
      <w:r w:rsidRPr="004B1BC6">
        <w:rPr>
          <w:rFonts w:asciiTheme="minorHAnsi" w:eastAsiaTheme="minorEastAsia" w:hAnsiTheme="minorHAnsi" w:cstheme="minorBidi"/>
          <w:color w:val="auto"/>
          <w:sz w:val="22"/>
          <w:szCs w:val="22"/>
        </w:rPr>
        <w:t>.</w:t>
      </w:r>
      <w:r w:rsidR="00F560D0" w:rsidRPr="004B1BC6">
        <w:rPr>
          <w:rFonts w:asciiTheme="minorHAnsi" w:eastAsiaTheme="minorEastAsia" w:hAnsiTheme="minorHAnsi" w:cstheme="minorBidi"/>
          <w:color w:val="auto"/>
          <w:sz w:val="22"/>
          <w:szCs w:val="22"/>
        </w:rPr>
        <w:t xml:space="preserve"> Three different status can be defined based on the RSRP threshold and the 3dB margin. </w:t>
      </w:r>
    </w:p>
    <w:p w14:paraId="47B43F6A" w14:textId="6D09C862" w:rsidR="00F560D0" w:rsidRPr="004B1BC6" w:rsidRDefault="00F560D0" w:rsidP="00F560D0">
      <w:pPr>
        <w:pStyle w:val="Default"/>
        <w:numPr>
          <w:ilvl w:val="0"/>
          <w:numId w:val="20"/>
        </w:numPr>
        <w:jc w:val="both"/>
        <w:rPr>
          <w:rFonts w:asciiTheme="minorHAnsi" w:eastAsiaTheme="minorEastAsia" w:hAnsiTheme="minorHAnsi" w:cstheme="minorBidi"/>
          <w:color w:val="auto"/>
          <w:sz w:val="22"/>
          <w:szCs w:val="22"/>
        </w:rPr>
      </w:pPr>
      <w:r w:rsidRPr="004B1BC6">
        <w:rPr>
          <w:rFonts w:asciiTheme="minorHAnsi" w:eastAsiaTheme="minorEastAsia" w:hAnsiTheme="minorHAnsi" w:cstheme="minorBidi"/>
          <w:color w:val="auto"/>
          <w:sz w:val="22"/>
          <w:szCs w:val="22"/>
        </w:rPr>
        <w:t>Not transmit SLSS(UE is in the center of a cell)</w:t>
      </w:r>
    </w:p>
    <w:p w14:paraId="2B5938EF" w14:textId="64300888" w:rsidR="00F560D0" w:rsidRPr="004B1BC6" w:rsidRDefault="00F560D0" w:rsidP="00F560D0">
      <w:pPr>
        <w:pStyle w:val="Default"/>
        <w:numPr>
          <w:ilvl w:val="0"/>
          <w:numId w:val="20"/>
        </w:numPr>
        <w:jc w:val="both"/>
        <w:rPr>
          <w:rFonts w:asciiTheme="minorHAnsi" w:eastAsiaTheme="minorEastAsia" w:hAnsiTheme="minorHAnsi" w:cstheme="minorBidi"/>
          <w:color w:val="auto"/>
          <w:sz w:val="22"/>
          <w:szCs w:val="22"/>
        </w:rPr>
      </w:pPr>
      <w:r w:rsidRPr="004B1BC6">
        <w:rPr>
          <w:rFonts w:asciiTheme="minorHAnsi" w:eastAsiaTheme="minorEastAsia" w:hAnsiTheme="minorHAnsi" w:cstheme="minorBidi"/>
          <w:color w:val="auto"/>
          <w:sz w:val="22"/>
          <w:szCs w:val="22"/>
        </w:rPr>
        <w:t>Transmit SLSS(UE is in the edge of a cell)</w:t>
      </w:r>
    </w:p>
    <w:p w14:paraId="21C438FA" w14:textId="7FCA940D" w:rsidR="00F560D0" w:rsidRPr="004B1BC6" w:rsidRDefault="00F560D0" w:rsidP="00F560D0">
      <w:pPr>
        <w:pStyle w:val="Default"/>
        <w:numPr>
          <w:ilvl w:val="0"/>
          <w:numId w:val="20"/>
        </w:numPr>
        <w:jc w:val="both"/>
        <w:rPr>
          <w:rFonts w:asciiTheme="minorHAnsi" w:eastAsiaTheme="minorEastAsia" w:hAnsiTheme="minorHAnsi" w:cstheme="minorBidi"/>
          <w:color w:val="auto"/>
          <w:sz w:val="22"/>
          <w:szCs w:val="22"/>
        </w:rPr>
      </w:pPr>
      <w:r w:rsidRPr="004B1BC6">
        <w:rPr>
          <w:rFonts w:asciiTheme="minorHAnsi" w:eastAsiaTheme="minorEastAsia" w:hAnsiTheme="minorHAnsi" w:cstheme="minorBidi"/>
          <w:color w:val="auto"/>
          <w:sz w:val="22"/>
          <w:szCs w:val="22"/>
        </w:rPr>
        <w:t>Hysteresis Zone</w:t>
      </w:r>
    </w:p>
    <w:p w14:paraId="12326E68" w14:textId="4CDFA87E" w:rsidR="00A71FC3" w:rsidRPr="004B1BC6" w:rsidRDefault="00F560D0" w:rsidP="00A71FC3">
      <w:pPr>
        <w:pStyle w:val="Default"/>
        <w:jc w:val="both"/>
        <w:rPr>
          <w:rFonts w:asciiTheme="minorHAnsi" w:eastAsiaTheme="minorEastAsia" w:hAnsiTheme="minorHAnsi" w:cstheme="minorBidi"/>
          <w:color w:val="auto"/>
          <w:sz w:val="22"/>
          <w:szCs w:val="22"/>
        </w:rPr>
      </w:pPr>
      <w:r w:rsidRPr="004B1BC6">
        <w:rPr>
          <w:rFonts w:asciiTheme="minorHAnsi" w:eastAsiaTheme="minorEastAsia" w:hAnsiTheme="minorHAnsi" w:cstheme="minorBidi"/>
          <w:color w:val="auto"/>
          <w:sz w:val="22"/>
          <w:szCs w:val="22"/>
        </w:rPr>
        <w:t xml:space="preserve">When UE is moving from state 1 to state 2, the UE doesn’t need to transmit SLSS in state 3. The UE only need to initiate the SLSS transmission when RSRP is less than the configured RSRP threshold. On the other side, when UE is moving from state 2 to state 1, the UE still need to transmit SLSS in state 3. </w:t>
      </w:r>
      <w:r w:rsidR="00FE7FC6" w:rsidRPr="004B1BC6">
        <w:rPr>
          <w:rFonts w:asciiTheme="minorHAnsi" w:eastAsiaTheme="minorEastAsia" w:hAnsiTheme="minorHAnsi" w:cstheme="minorBidi"/>
          <w:color w:val="auto"/>
          <w:sz w:val="22"/>
          <w:szCs w:val="22"/>
        </w:rPr>
        <w:t xml:space="preserve">The UE ceases the SLSS transmission </w:t>
      </w:r>
      <w:r w:rsidR="001F1338" w:rsidRPr="004B1BC6">
        <w:rPr>
          <w:rFonts w:asciiTheme="minorHAnsi" w:eastAsiaTheme="minorEastAsia" w:hAnsiTheme="minorHAnsi" w:cstheme="minorBidi"/>
          <w:color w:val="auto"/>
          <w:sz w:val="22"/>
          <w:szCs w:val="22"/>
        </w:rPr>
        <w:t xml:space="preserve">if </w:t>
      </w:r>
      <w:r w:rsidR="00FE7FC6" w:rsidRPr="004B1BC6">
        <w:rPr>
          <w:rFonts w:asciiTheme="minorHAnsi" w:eastAsiaTheme="minorEastAsia" w:hAnsiTheme="minorHAnsi" w:cstheme="minorBidi"/>
          <w:color w:val="auto"/>
          <w:sz w:val="22"/>
          <w:szCs w:val="22"/>
        </w:rPr>
        <w:t xml:space="preserve">RSRP </w:t>
      </w:r>
      <w:r w:rsidR="001F1338" w:rsidRPr="004B1BC6">
        <w:rPr>
          <w:rFonts w:asciiTheme="minorHAnsi" w:eastAsiaTheme="minorEastAsia" w:hAnsiTheme="minorHAnsi" w:cstheme="minorBidi"/>
          <w:color w:val="auto"/>
          <w:sz w:val="22"/>
          <w:szCs w:val="22"/>
        </w:rPr>
        <w:t>becomes</w:t>
      </w:r>
      <w:r w:rsidR="00FE7FC6" w:rsidRPr="004B1BC6">
        <w:rPr>
          <w:rFonts w:asciiTheme="minorHAnsi" w:eastAsiaTheme="minorEastAsia" w:hAnsiTheme="minorHAnsi" w:cstheme="minorBidi"/>
          <w:color w:val="auto"/>
          <w:sz w:val="22"/>
          <w:szCs w:val="22"/>
        </w:rPr>
        <w:t xml:space="preserve"> larger than the configured RSRP threshold plus the 3dB margin. </w:t>
      </w:r>
      <w:r w:rsidRPr="004B1BC6">
        <w:rPr>
          <w:rFonts w:asciiTheme="minorHAnsi" w:eastAsiaTheme="minorEastAsia" w:hAnsiTheme="minorHAnsi" w:cstheme="minorBidi"/>
          <w:color w:val="auto"/>
          <w:sz w:val="22"/>
          <w:szCs w:val="22"/>
        </w:rPr>
        <w:t xml:space="preserve"> </w:t>
      </w:r>
      <w:r w:rsidR="00A71FC3" w:rsidRPr="004B1BC6">
        <w:rPr>
          <w:rFonts w:asciiTheme="minorHAnsi" w:eastAsiaTheme="minorEastAsia" w:hAnsiTheme="minorHAnsi" w:cstheme="minorBidi"/>
          <w:color w:val="auto"/>
          <w:sz w:val="22"/>
          <w:szCs w:val="22"/>
        </w:rPr>
        <w:t xml:space="preserve"> </w:t>
      </w:r>
    </w:p>
    <w:p w14:paraId="0FD76490" w14:textId="6704D4EB" w:rsidR="004801C5" w:rsidRPr="004B1BC6" w:rsidRDefault="00F560D0" w:rsidP="00F560D0">
      <w:pPr>
        <w:pStyle w:val="Default"/>
        <w:jc w:val="center"/>
        <w:rPr>
          <w:rFonts w:asciiTheme="minorHAnsi" w:eastAsiaTheme="minorEastAsia" w:hAnsiTheme="minorHAnsi" w:cstheme="minorBidi"/>
          <w:color w:val="auto"/>
          <w:sz w:val="22"/>
          <w:szCs w:val="22"/>
        </w:rPr>
      </w:pPr>
      <w:r w:rsidRPr="004B1BC6">
        <w:rPr>
          <w:rFonts w:asciiTheme="minorHAnsi" w:eastAsiaTheme="minorEastAsia" w:hAnsiTheme="minorHAnsi" w:cstheme="minorBidi"/>
          <w:noProof/>
          <w:color w:val="auto"/>
          <w:sz w:val="22"/>
          <w:szCs w:val="22"/>
        </w:rPr>
        <w:drawing>
          <wp:inline distT="0" distB="0" distL="0" distR="0" wp14:anchorId="7A4F69B2" wp14:editId="086DDFD6">
            <wp:extent cx="3021150" cy="19841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9885" cy="1996416"/>
                    </a:xfrm>
                    <a:prstGeom prst="rect">
                      <a:avLst/>
                    </a:prstGeom>
                    <a:noFill/>
                  </pic:spPr>
                </pic:pic>
              </a:graphicData>
            </a:graphic>
          </wp:inline>
        </w:drawing>
      </w:r>
    </w:p>
    <w:p w14:paraId="3DA5F0B2" w14:textId="2BE8822D" w:rsidR="00F560D0" w:rsidRPr="004B1BC6" w:rsidRDefault="00F560D0" w:rsidP="00FE7FC6">
      <w:pPr>
        <w:jc w:val="center"/>
      </w:pPr>
      <w:r w:rsidRPr="004B1BC6">
        <w:t xml:space="preserve">Figure </w:t>
      </w:r>
      <w:r w:rsidR="00ED1372">
        <w:fldChar w:fldCharType="begin"/>
      </w:r>
      <w:r w:rsidR="00ED1372">
        <w:instrText xml:space="preserve"> SEQ Figure \* ARABIC </w:instrText>
      </w:r>
      <w:r w:rsidR="00ED1372">
        <w:fldChar w:fldCharType="separate"/>
      </w:r>
      <w:r w:rsidR="00A52CBA" w:rsidRPr="004B1BC6">
        <w:rPr>
          <w:noProof/>
        </w:rPr>
        <w:t>2</w:t>
      </w:r>
      <w:r w:rsidR="00ED1372">
        <w:rPr>
          <w:noProof/>
        </w:rPr>
        <w:fldChar w:fldCharType="end"/>
      </w:r>
      <w:r w:rsidRPr="004B1BC6">
        <w:t>.</w:t>
      </w:r>
      <w:r w:rsidR="00FE7FC6" w:rsidRPr="004B1BC6">
        <w:t xml:space="preserve"> Initiation/Cease SLSS based on RSRP margin</w:t>
      </w:r>
    </w:p>
    <w:p w14:paraId="0356D995" w14:textId="7ABA7B43" w:rsidR="006A555B" w:rsidRPr="006A555B" w:rsidRDefault="00D37C19" w:rsidP="006A555B">
      <w:pPr>
        <w:jc w:val="both"/>
        <w:rPr>
          <w:b/>
          <w:i/>
        </w:rPr>
      </w:pPr>
      <w:bookmarkStart w:id="4" w:name="_Ref20670058"/>
      <w:bookmarkStart w:id="5" w:name="_Ref30692760"/>
      <w:bookmarkStart w:id="6" w:name="_Ref19958513"/>
      <w:r w:rsidRPr="004B1BC6">
        <w:rPr>
          <w:b/>
          <w:i/>
        </w:rPr>
        <w:t xml:space="preserve">Proposal </w:t>
      </w:r>
      <w:r w:rsidRPr="004B1BC6">
        <w:rPr>
          <w:b/>
          <w:i/>
        </w:rPr>
        <w:fldChar w:fldCharType="begin"/>
      </w:r>
      <w:r w:rsidRPr="004B1BC6">
        <w:rPr>
          <w:b/>
          <w:i/>
        </w:rPr>
        <w:instrText xml:space="preserve"> SEQ Proposal \* ARABIC </w:instrText>
      </w:r>
      <w:r w:rsidRPr="004B1BC6">
        <w:rPr>
          <w:b/>
          <w:i/>
        </w:rPr>
        <w:fldChar w:fldCharType="separate"/>
      </w:r>
      <w:r w:rsidR="00A52CBA" w:rsidRPr="004B1BC6">
        <w:rPr>
          <w:b/>
          <w:i/>
          <w:noProof/>
        </w:rPr>
        <w:t>2</w:t>
      </w:r>
      <w:r w:rsidRPr="004B1BC6">
        <w:rPr>
          <w:b/>
          <w:i/>
        </w:rPr>
        <w:fldChar w:fldCharType="end"/>
      </w:r>
      <w:r w:rsidR="006A555B" w:rsidRPr="004B1BC6">
        <w:rPr>
          <w:b/>
          <w:i/>
        </w:rPr>
        <w:t xml:space="preserve">: </w:t>
      </w:r>
      <w:bookmarkEnd w:id="4"/>
      <w:r w:rsidR="001729BE" w:rsidRPr="004B1BC6">
        <w:rPr>
          <w:b/>
          <w:i/>
        </w:rPr>
        <w:t xml:space="preserve">Similar </w:t>
      </w:r>
      <w:r w:rsidR="00801DEF" w:rsidRPr="004B1BC6">
        <w:rPr>
          <w:b/>
          <w:i/>
        </w:rPr>
        <w:t>to</w:t>
      </w:r>
      <w:r w:rsidR="001729BE" w:rsidRPr="004B1BC6">
        <w:rPr>
          <w:b/>
          <w:i/>
        </w:rPr>
        <w:t xml:space="preserve"> NR IDLE mode, the measurement margin should be introduced when reselecting the sync. reference source and initiation of SLSS transmission.</w:t>
      </w:r>
      <w:bookmarkEnd w:id="5"/>
    </w:p>
    <w:bookmarkEnd w:id="6"/>
    <w:p w14:paraId="501F3B3C" w14:textId="4B1ACE25" w:rsidR="0041654A" w:rsidRPr="0041654A" w:rsidRDefault="00126E6E" w:rsidP="005C54FF">
      <w:pPr>
        <w:pStyle w:val="1"/>
        <w:numPr>
          <w:ilvl w:val="0"/>
          <w:numId w:val="1"/>
        </w:numPr>
        <w:rPr>
          <w:rFonts w:ascii="Calibri" w:hAnsi="Calibri"/>
          <w:b/>
          <w:sz w:val="28"/>
          <w:u w:val="single"/>
        </w:rPr>
      </w:pPr>
      <w:r>
        <w:rPr>
          <w:rFonts w:ascii="Calibri" w:hAnsi="Calibri"/>
        </w:rPr>
        <w:t>Reselection the S</w:t>
      </w:r>
      <w:r>
        <w:rPr>
          <w:rFonts w:ascii="Calibri" w:hAnsi="Calibri" w:hint="eastAsia"/>
          <w:lang w:eastAsia="zh-CN"/>
        </w:rPr>
        <w:t>ynchronization</w:t>
      </w:r>
      <w:r>
        <w:rPr>
          <w:rFonts w:ascii="Calibri" w:hAnsi="Calibri"/>
          <w:lang w:eastAsia="zh-CN"/>
        </w:rPr>
        <w:t xml:space="preserve"> Reference Source</w:t>
      </w:r>
      <w:r w:rsidR="0041654A" w:rsidRPr="005C2E8E">
        <w:rPr>
          <w:rFonts w:ascii="Calibri" w:hAnsi="Calibri"/>
        </w:rPr>
        <w:t xml:space="preserve"> </w:t>
      </w:r>
    </w:p>
    <w:p w14:paraId="09BE43CB" w14:textId="0911387B" w:rsidR="007D7EF6" w:rsidRDefault="007D7EF6" w:rsidP="009077DF">
      <w:pPr>
        <w:jc w:val="both"/>
      </w:pPr>
      <w:r w:rsidRPr="007B3098">
        <w:rPr>
          <w:lang w:eastAsia="ja-JP" w:bidi="hi-IN"/>
        </w:rPr>
        <w:t xml:space="preserve">In LTE V2X, </w:t>
      </w:r>
      <w:r w:rsidR="009A0141" w:rsidRPr="00585EE9">
        <w:t>to avoid UEs to support multiple V2X TX/RX timings</w:t>
      </w:r>
      <w:r w:rsidR="004661DA">
        <w:t>,</w:t>
      </w:r>
      <w:r w:rsidR="009A0141" w:rsidRPr="00585EE9">
        <w:t xml:space="preserve"> it </w:t>
      </w:r>
      <w:r w:rsidR="001E1CCF">
        <w:t>was</w:t>
      </w:r>
      <w:r w:rsidR="001E1CCF" w:rsidRPr="00585EE9">
        <w:t xml:space="preserve"> </w:t>
      </w:r>
      <w:r w:rsidR="009A0141" w:rsidRPr="00585EE9">
        <w:t>recommended to modify the RRM requirements in order to allow UE to prioritize the PSBCH monitoring over PSSCH/PSCCH reception</w:t>
      </w:r>
      <w:r w:rsidR="004661DA">
        <w:t xml:space="preserve">. During the SyncRef source detection, UE firstly searches the potential SyncRef UE SLSS. Once UE </w:t>
      </w:r>
      <w:r w:rsidR="001E1CCF">
        <w:t xml:space="preserve">identified </w:t>
      </w:r>
      <w:r w:rsidR="004661DA">
        <w:t xml:space="preserve">the reasonable SynRef source, UE knows the </w:t>
      </w:r>
      <w:r w:rsidR="001E1CCF">
        <w:t xml:space="preserve">timing configuration </w:t>
      </w:r>
      <w:r w:rsidR="004661DA">
        <w:t>of the subsequent PSBCH and SLSS transmissions from the particular SyncRef UE. Therefore, UE is permitted to drop its V2X reception procedures up to 2 subframes based on current synchronization source reference timing (e.g. PSCCH/PSSCH reception). Considering async scenario</w:t>
      </w:r>
      <w:r w:rsidR="0012471F">
        <w:t>s</w:t>
      </w:r>
      <w:r w:rsidR="004661DA">
        <w:t>, the data dropping rate in LTE V2X is</w:t>
      </w:r>
    </w:p>
    <w:p w14:paraId="629BD62E" w14:textId="44BD9541" w:rsidR="004661DA" w:rsidRDefault="004661DA" w:rsidP="009077DF">
      <w:pPr>
        <w:jc w:val="both"/>
      </w:pPr>
      <w:r>
        <w:t xml:space="preserve">4(evaluation time 640ms/160ms) </w:t>
      </w:r>
      <m:oMath>
        <m:r>
          <m:rPr>
            <m:sty m:val="p"/>
          </m:rPr>
          <w:rPr>
            <w:rFonts w:ascii="Cambria Math" w:hAnsi="Cambria Math"/>
          </w:rPr>
          <m:t>×</m:t>
        </m:r>
      </m:oMath>
      <w:r>
        <w:t xml:space="preserve"> 3(candidate sync. offset indication) </w:t>
      </w:r>
      <m:oMath>
        <m:r>
          <m:rPr>
            <m:sty m:val="p"/>
          </m:rPr>
          <w:rPr>
            <w:rFonts w:ascii="Cambria Math" w:hAnsi="Cambria Math"/>
          </w:rPr>
          <m:t>×</m:t>
        </m:r>
      </m:oMath>
      <w:r>
        <w:t xml:space="preserve"> 2(async. subframes) </w:t>
      </w:r>
      <m:oMath>
        <m:r>
          <m:rPr>
            <m:sty m:val="p"/>
          </m:rPr>
          <w:rPr>
            <w:rFonts w:ascii="Cambria Math" w:hAnsi="Cambria Math"/>
          </w:rPr>
          <m:t>×</m:t>
        </m:r>
      </m:oMath>
      <w:r>
        <w:t xml:space="preserve"> 1ms(</w:t>
      </w:r>
      <w:r w:rsidR="00523FBD">
        <w:t xml:space="preserve">unit of a </w:t>
      </w:r>
      <w:r>
        <w:t>subframe) / 8s = 0.3%</w:t>
      </w:r>
    </w:p>
    <w:p w14:paraId="72BC60C7" w14:textId="74B0803A" w:rsidR="004661DA" w:rsidRDefault="004661DA" w:rsidP="009077DF">
      <w:pPr>
        <w:jc w:val="both"/>
        <w:rPr>
          <w:b/>
          <w:i/>
        </w:rPr>
      </w:pPr>
      <w:bookmarkStart w:id="7" w:name="_Ref30692752"/>
      <w:r w:rsidRPr="00D37C19">
        <w:rPr>
          <w:b/>
          <w:i/>
        </w:rPr>
        <w:lastRenderedPageBreak/>
        <w:t xml:space="preserve">Observation </w:t>
      </w:r>
      <w:r w:rsidRPr="00D37C19">
        <w:rPr>
          <w:b/>
          <w:i/>
        </w:rPr>
        <w:fldChar w:fldCharType="begin"/>
      </w:r>
      <w:r w:rsidRPr="00D37C19">
        <w:rPr>
          <w:b/>
          <w:i/>
        </w:rPr>
        <w:instrText xml:space="preserve"> SEQ Observation \* ARABIC </w:instrText>
      </w:r>
      <w:r w:rsidRPr="00D37C19">
        <w:rPr>
          <w:b/>
          <w:i/>
        </w:rPr>
        <w:fldChar w:fldCharType="separate"/>
      </w:r>
      <w:r w:rsidR="00A52CBA">
        <w:rPr>
          <w:b/>
          <w:i/>
          <w:noProof/>
        </w:rPr>
        <w:t>3</w:t>
      </w:r>
      <w:r w:rsidRPr="00D37C19">
        <w:rPr>
          <w:b/>
          <w:i/>
        </w:rPr>
        <w:fldChar w:fldCharType="end"/>
      </w:r>
      <w:r w:rsidRPr="00D37C19">
        <w:rPr>
          <w:b/>
          <w:i/>
        </w:rPr>
        <w:t>:</w:t>
      </w:r>
      <w:r>
        <w:rPr>
          <w:b/>
          <w:i/>
        </w:rPr>
        <w:t xml:space="preserve"> In LTE V2X, 2 subframes data reception dropping is permitted when UE is monitoring the PSBCH of </w:t>
      </w:r>
      <w:r w:rsidR="004801C5">
        <w:rPr>
          <w:b/>
          <w:i/>
        </w:rPr>
        <w:t xml:space="preserve">potential </w:t>
      </w:r>
      <w:r>
        <w:rPr>
          <w:b/>
          <w:i/>
        </w:rPr>
        <w:t>SyncRef source.</w:t>
      </w:r>
      <w:bookmarkEnd w:id="7"/>
    </w:p>
    <w:p w14:paraId="1FC7FCBB" w14:textId="29411AC9" w:rsidR="00FE7FC6" w:rsidRPr="004B1BC6" w:rsidRDefault="00FE7FC6" w:rsidP="00FE7FC6">
      <w:pPr>
        <w:jc w:val="both"/>
        <w:rPr>
          <w:lang w:eastAsia="ja-JP" w:bidi="hi-IN"/>
        </w:rPr>
      </w:pPr>
      <w:r w:rsidRPr="004B1BC6">
        <w:rPr>
          <w:lang w:eastAsia="ja-JP" w:bidi="hi-IN"/>
        </w:rPr>
        <w:t xml:space="preserve">In NR sidelink, RAN1 had already agreed to use the same numerology for S-SSB as reception signals. </w:t>
      </w:r>
      <w:r w:rsidR="004B1BC6">
        <w:rPr>
          <w:lang w:eastAsia="ja-JP" w:bidi="hi-IN"/>
        </w:rPr>
        <w:t xml:space="preserve">The dropping rate for different SCS within the SLSS periodicity of 160ms is shown below. </w:t>
      </w:r>
      <w:r w:rsidRPr="004B1BC6">
        <w:rPr>
          <w:lang w:eastAsia="ja-JP" w:bidi="hi-IN"/>
        </w:rPr>
        <w:t xml:space="preserve">Thus, </w:t>
      </w:r>
      <w:r w:rsidR="001F1338" w:rsidRPr="004B1BC6">
        <w:rPr>
          <w:lang w:eastAsia="ja-JP" w:bidi="hi-IN"/>
        </w:rPr>
        <w:t xml:space="preserve">to dealing with 30KHz and 60KHz SCS, we can simply </w:t>
      </w:r>
      <w:r w:rsidRPr="004B1BC6">
        <w:rPr>
          <w:lang w:eastAsia="ja-JP" w:bidi="hi-IN"/>
        </w:rPr>
        <w:t xml:space="preserve">extend the LTE V2X requirement </w:t>
      </w:r>
      <w:r w:rsidR="001F1338" w:rsidRPr="004B1BC6">
        <w:rPr>
          <w:lang w:eastAsia="ja-JP" w:bidi="hi-IN"/>
        </w:rPr>
        <w:t xml:space="preserve">(which is based on 15KHz SCS) </w:t>
      </w:r>
      <w:r w:rsidRPr="004B1BC6">
        <w:rPr>
          <w:lang w:eastAsia="ja-JP" w:bidi="hi-IN"/>
        </w:rPr>
        <w:t>with the same dropping rate but shorten the overall evaluation time.</w:t>
      </w:r>
    </w:p>
    <w:tbl>
      <w:tblPr>
        <w:tblStyle w:val="af4"/>
        <w:tblW w:w="0" w:type="auto"/>
        <w:jc w:val="center"/>
        <w:tblLook w:val="04A0" w:firstRow="1" w:lastRow="0" w:firstColumn="1" w:lastColumn="0" w:noHBand="0" w:noVBand="1"/>
      </w:tblPr>
      <w:tblGrid>
        <w:gridCol w:w="1274"/>
        <w:gridCol w:w="1275"/>
        <w:gridCol w:w="1274"/>
        <w:gridCol w:w="1275"/>
      </w:tblGrid>
      <w:tr w:rsidR="00E671C7" w14:paraId="2203691F" w14:textId="4C095A16" w:rsidTr="004B1BC6">
        <w:trPr>
          <w:trHeight w:val="20"/>
          <w:jc w:val="center"/>
        </w:trPr>
        <w:tc>
          <w:tcPr>
            <w:tcW w:w="1274" w:type="dxa"/>
            <w:vAlign w:val="center"/>
          </w:tcPr>
          <w:p w14:paraId="4A15AEBE" w14:textId="5DF16CDB" w:rsidR="00E671C7" w:rsidRPr="004B1BC6" w:rsidRDefault="00E671C7" w:rsidP="004B1BC6">
            <w:pPr>
              <w:jc w:val="center"/>
              <w:rPr>
                <w:lang w:eastAsia="ja-JP" w:bidi="hi-IN"/>
              </w:rPr>
            </w:pPr>
            <w:r w:rsidRPr="004B1BC6">
              <w:rPr>
                <w:lang w:eastAsia="ja-JP" w:bidi="hi-IN"/>
              </w:rPr>
              <w:t>SCS</w:t>
            </w:r>
            <w:r w:rsidR="004B1BC6">
              <w:rPr>
                <w:lang w:eastAsia="ja-JP" w:bidi="hi-IN"/>
              </w:rPr>
              <w:t>(KHz)</w:t>
            </w:r>
          </w:p>
        </w:tc>
        <w:tc>
          <w:tcPr>
            <w:tcW w:w="1275" w:type="dxa"/>
            <w:vAlign w:val="center"/>
          </w:tcPr>
          <w:p w14:paraId="3CDD789B" w14:textId="21471490" w:rsidR="00E671C7" w:rsidRPr="004B1BC6" w:rsidRDefault="00E671C7" w:rsidP="004B1BC6">
            <w:pPr>
              <w:jc w:val="center"/>
              <w:rPr>
                <w:lang w:eastAsia="ja-JP" w:bidi="hi-IN"/>
              </w:rPr>
            </w:pPr>
            <w:r w:rsidRPr="004B1BC6">
              <w:rPr>
                <w:lang w:eastAsia="ja-JP" w:bidi="hi-IN"/>
              </w:rPr>
              <w:t># of slots in 160ms</w:t>
            </w:r>
          </w:p>
        </w:tc>
        <w:tc>
          <w:tcPr>
            <w:tcW w:w="1274" w:type="dxa"/>
            <w:vAlign w:val="center"/>
          </w:tcPr>
          <w:p w14:paraId="17689406" w14:textId="06146466" w:rsidR="00E671C7" w:rsidRPr="004B1BC6" w:rsidRDefault="00E671C7" w:rsidP="004B1BC6">
            <w:pPr>
              <w:jc w:val="center"/>
              <w:rPr>
                <w:lang w:eastAsia="ja-JP" w:bidi="hi-IN"/>
              </w:rPr>
            </w:pPr>
            <w:r w:rsidRPr="004B1BC6">
              <w:rPr>
                <w:lang w:eastAsia="ja-JP" w:bidi="hi-IN"/>
              </w:rPr>
              <w:t>Number of slots that can be dropped</w:t>
            </w:r>
          </w:p>
        </w:tc>
        <w:tc>
          <w:tcPr>
            <w:tcW w:w="1275" w:type="dxa"/>
            <w:vAlign w:val="center"/>
          </w:tcPr>
          <w:p w14:paraId="1DD1D2D0" w14:textId="75DA5395" w:rsidR="00E671C7" w:rsidRPr="004B1BC6" w:rsidRDefault="00E671C7" w:rsidP="004B1BC6">
            <w:pPr>
              <w:jc w:val="center"/>
              <w:rPr>
                <w:lang w:eastAsia="ja-JP" w:bidi="hi-IN"/>
              </w:rPr>
            </w:pPr>
            <w:r w:rsidRPr="004B1BC6">
              <w:rPr>
                <w:lang w:eastAsia="ja-JP" w:bidi="hi-IN"/>
              </w:rPr>
              <w:t>Dropping rate</w:t>
            </w:r>
          </w:p>
        </w:tc>
      </w:tr>
      <w:tr w:rsidR="00E671C7" w14:paraId="7EE8D40C" w14:textId="159140B8" w:rsidTr="004B1BC6">
        <w:trPr>
          <w:trHeight w:val="20"/>
          <w:jc w:val="center"/>
        </w:trPr>
        <w:tc>
          <w:tcPr>
            <w:tcW w:w="1274" w:type="dxa"/>
            <w:vAlign w:val="center"/>
          </w:tcPr>
          <w:p w14:paraId="77E493EA" w14:textId="37A84AEC" w:rsidR="00E671C7" w:rsidRPr="004B1BC6" w:rsidRDefault="00E671C7" w:rsidP="004B1BC6">
            <w:pPr>
              <w:jc w:val="center"/>
              <w:rPr>
                <w:lang w:eastAsia="ja-JP" w:bidi="hi-IN"/>
              </w:rPr>
            </w:pPr>
            <w:r w:rsidRPr="004B1BC6">
              <w:rPr>
                <w:lang w:eastAsia="ja-JP" w:bidi="hi-IN"/>
              </w:rPr>
              <w:t>15</w:t>
            </w:r>
          </w:p>
        </w:tc>
        <w:tc>
          <w:tcPr>
            <w:tcW w:w="1275" w:type="dxa"/>
            <w:vAlign w:val="center"/>
          </w:tcPr>
          <w:p w14:paraId="170B670E" w14:textId="4124A3A3" w:rsidR="00E671C7" w:rsidRPr="004B1BC6" w:rsidRDefault="00E671C7" w:rsidP="004B1BC6">
            <w:pPr>
              <w:jc w:val="center"/>
              <w:rPr>
                <w:lang w:eastAsia="ja-JP" w:bidi="hi-IN"/>
              </w:rPr>
            </w:pPr>
            <w:r w:rsidRPr="004B1BC6">
              <w:rPr>
                <w:lang w:eastAsia="ja-JP" w:bidi="hi-IN"/>
              </w:rPr>
              <w:t>160</w:t>
            </w:r>
          </w:p>
        </w:tc>
        <w:tc>
          <w:tcPr>
            <w:tcW w:w="1274" w:type="dxa"/>
            <w:vAlign w:val="center"/>
          </w:tcPr>
          <w:p w14:paraId="2B7D3F0E" w14:textId="057E8C03" w:rsidR="00E671C7" w:rsidRPr="004B1BC6" w:rsidRDefault="004B1BC6" w:rsidP="004B1BC6">
            <w:pPr>
              <w:jc w:val="center"/>
              <w:rPr>
                <w:lang w:eastAsia="ja-JP" w:bidi="hi-IN"/>
              </w:rPr>
            </w:pPr>
            <w:r>
              <w:rPr>
                <w:lang w:eastAsia="ja-JP" w:bidi="hi-IN"/>
              </w:rPr>
              <w:t>6</w:t>
            </w:r>
          </w:p>
        </w:tc>
        <w:tc>
          <w:tcPr>
            <w:tcW w:w="1275" w:type="dxa"/>
            <w:vAlign w:val="center"/>
          </w:tcPr>
          <w:p w14:paraId="006C8D71" w14:textId="6BE17999" w:rsidR="00E671C7" w:rsidRPr="004B1BC6" w:rsidRDefault="004B1BC6" w:rsidP="004B1BC6">
            <w:pPr>
              <w:jc w:val="center"/>
              <w:rPr>
                <w:lang w:eastAsia="ja-JP" w:bidi="hi-IN"/>
              </w:rPr>
            </w:pPr>
            <w:r>
              <w:rPr>
                <w:lang w:eastAsia="ja-JP" w:bidi="hi-IN"/>
              </w:rPr>
              <w:t>6</w:t>
            </w:r>
            <w:r w:rsidR="00E671C7" w:rsidRPr="004B1BC6">
              <w:rPr>
                <w:lang w:eastAsia="ja-JP" w:bidi="hi-IN"/>
              </w:rPr>
              <w:t>/160</w:t>
            </w:r>
          </w:p>
        </w:tc>
      </w:tr>
      <w:tr w:rsidR="00E671C7" w14:paraId="1F2EB1DB" w14:textId="5F7ADD2C" w:rsidTr="004B1BC6">
        <w:trPr>
          <w:trHeight w:val="20"/>
          <w:jc w:val="center"/>
        </w:trPr>
        <w:tc>
          <w:tcPr>
            <w:tcW w:w="1274" w:type="dxa"/>
            <w:vAlign w:val="center"/>
          </w:tcPr>
          <w:p w14:paraId="451BDA01" w14:textId="4E4F1A06" w:rsidR="00E671C7" w:rsidRPr="004B1BC6" w:rsidRDefault="00E671C7" w:rsidP="004B1BC6">
            <w:pPr>
              <w:jc w:val="center"/>
              <w:rPr>
                <w:lang w:eastAsia="ja-JP" w:bidi="hi-IN"/>
              </w:rPr>
            </w:pPr>
            <w:r w:rsidRPr="004B1BC6">
              <w:rPr>
                <w:lang w:eastAsia="ja-JP" w:bidi="hi-IN"/>
              </w:rPr>
              <w:t>30</w:t>
            </w:r>
          </w:p>
        </w:tc>
        <w:tc>
          <w:tcPr>
            <w:tcW w:w="1275" w:type="dxa"/>
            <w:vAlign w:val="center"/>
          </w:tcPr>
          <w:p w14:paraId="588725C3" w14:textId="35A674B0" w:rsidR="00E671C7" w:rsidRPr="004B1BC6" w:rsidRDefault="00E671C7" w:rsidP="004B1BC6">
            <w:pPr>
              <w:jc w:val="center"/>
              <w:rPr>
                <w:lang w:eastAsia="ja-JP" w:bidi="hi-IN"/>
              </w:rPr>
            </w:pPr>
            <w:r w:rsidRPr="004B1BC6">
              <w:rPr>
                <w:lang w:eastAsia="ja-JP" w:bidi="hi-IN"/>
              </w:rPr>
              <w:t>320</w:t>
            </w:r>
          </w:p>
        </w:tc>
        <w:tc>
          <w:tcPr>
            <w:tcW w:w="1274" w:type="dxa"/>
            <w:vAlign w:val="center"/>
          </w:tcPr>
          <w:p w14:paraId="53C09C08" w14:textId="154ADA95" w:rsidR="00E671C7" w:rsidRPr="004B1BC6" w:rsidRDefault="004B1BC6" w:rsidP="004B1BC6">
            <w:pPr>
              <w:jc w:val="center"/>
              <w:rPr>
                <w:lang w:eastAsia="ja-JP" w:bidi="hi-IN"/>
              </w:rPr>
            </w:pPr>
            <w:r>
              <w:rPr>
                <w:lang w:eastAsia="ja-JP" w:bidi="hi-IN"/>
              </w:rPr>
              <w:t>6</w:t>
            </w:r>
          </w:p>
        </w:tc>
        <w:tc>
          <w:tcPr>
            <w:tcW w:w="1275" w:type="dxa"/>
            <w:vAlign w:val="center"/>
          </w:tcPr>
          <w:p w14:paraId="0783D8E0" w14:textId="3AFFEA95" w:rsidR="00E671C7" w:rsidRPr="004B1BC6" w:rsidRDefault="004B1BC6" w:rsidP="004B1BC6">
            <w:pPr>
              <w:jc w:val="center"/>
              <w:rPr>
                <w:lang w:eastAsia="ja-JP" w:bidi="hi-IN"/>
              </w:rPr>
            </w:pPr>
            <w:r>
              <w:rPr>
                <w:lang w:eastAsia="ja-JP" w:bidi="hi-IN"/>
              </w:rPr>
              <w:t>6</w:t>
            </w:r>
            <w:r w:rsidR="00E671C7" w:rsidRPr="004B1BC6">
              <w:rPr>
                <w:lang w:eastAsia="ja-JP" w:bidi="hi-IN"/>
              </w:rPr>
              <w:t>/320</w:t>
            </w:r>
          </w:p>
        </w:tc>
      </w:tr>
      <w:tr w:rsidR="00E671C7" w14:paraId="5F6095AF" w14:textId="6823B9ED" w:rsidTr="004B1BC6">
        <w:trPr>
          <w:trHeight w:val="20"/>
          <w:jc w:val="center"/>
        </w:trPr>
        <w:tc>
          <w:tcPr>
            <w:tcW w:w="1274" w:type="dxa"/>
            <w:vAlign w:val="center"/>
          </w:tcPr>
          <w:p w14:paraId="5D69D4F4" w14:textId="4BA62D4C" w:rsidR="00E671C7" w:rsidRPr="004B1BC6" w:rsidRDefault="00E671C7" w:rsidP="004B1BC6">
            <w:pPr>
              <w:jc w:val="center"/>
              <w:rPr>
                <w:lang w:eastAsia="ja-JP" w:bidi="hi-IN"/>
              </w:rPr>
            </w:pPr>
            <w:r w:rsidRPr="004B1BC6">
              <w:rPr>
                <w:lang w:eastAsia="ja-JP" w:bidi="hi-IN"/>
              </w:rPr>
              <w:t>60</w:t>
            </w:r>
          </w:p>
        </w:tc>
        <w:tc>
          <w:tcPr>
            <w:tcW w:w="1275" w:type="dxa"/>
            <w:vAlign w:val="center"/>
          </w:tcPr>
          <w:p w14:paraId="401B8FE6" w14:textId="4DD760EC" w:rsidR="00E671C7" w:rsidRPr="004B1BC6" w:rsidRDefault="00E671C7" w:rsidP="004B1BC6">
            <w:pPr>
              <w:jc w:val="center"/>
              <w:rPr>
                <w:lang w:eastAsia="ja-JP" w:bidi="hi-IN"/>
              </w:rPr>
            </w:pPr>
            <w:r w:rsidRPr="004B1BC6">
              <w:rPr>
                <w:lang w:eastAsia="ja-JP" w:bidi="hi-IN"/>
              </w:rPr>
              <w:t>640</w:t>
            </w:r>
          </w:p>
        </w:tc>
        <w:tc>
          <w:tcPr>
            <w:tcW w:w="1274" w:type="dxa"/>
            <w:vAlign w:val="center"/>
          </w:tcPr>
          <w:p w14:paraId="7C6C3CAC" w14:textId="4BD812E2" w:rsidR="00E671C7" w:rsidRPr="004B1BC6" w:rsidRDefault="004B1BC6" w:rsidP="004B1BC6">
            <w:pPr>
              <w:jc w:val="center"/>
              <w:rPr>
                <w:lang w:eastAsia="ja-JP" w:bidi="hi-IN"/>
              </w:rPr>
            </w:pPr>
            <w:r>
              <w:rPr>
                <w:lang w:eastAsia="ja-JP" w:bidi="hi-IN"/>
              </w:rPr>
              <w:t>6</w:t>
            </w:r>
          </w:p>
        </w:tc>
        <w:tc>
          <w:tcPr>
            <w:tcW w:w="1275" w:type="dxa"/>
            <w:vAlign w:val="center"/>
          </w:tcPr>
          <w:p w14:paraId="3DA0ADE9" w14:textId="0605098A" w:rsidR="00E671C7" w:rsidRPr="004B1BC6" w:rsidRDefault="004B1BC6" w:rsidP="004B1BC6">
            <w:pPr>
              <w:jc w:val="center"/>
              <w:rPr>
                <w:lang w:eastAsia="ja-JP" w:bidi="hi-IN"/>
              </w:rPr>
            </w:pPr>
            <w:r>
              <w:rPr>
                <w:lang w:eastAsia="ja-JP" w:bidi="hi-IN"/>
              </w:rPr>
              <w:t>6</w:t>
            </w:r>
            <w:r w:rsidR="00E671C7" w:rsidRPr="004B1BC6">
              <w:rPr>
                <w:lang w:eastAsia="ja-JP" w:bidi="hi-IN"/>
              </w:rPr>
              <w:t>/640</w:t>
            </w:r>
          </w:p>
        </w:tc>
      </w:tr>
    </w:tbl>
    <w:p w14:paraId="182DBB67" w14:textId="77777777" w:rsidR="00E671C7" w:rsidRPr="00514ED7" w:rsidRDefault="00E671C7" w:rsidP="00FE7FC6">
      <w:pPr>
        <w:jc w:val="both"/>
        <w:rPr>
          <w:highlight w:val="yellow"/>
          <w:lang w:eastAsia="ja-JP" w:bidi="hi-IN"/>
        </w:rPr>
      </w:pPr>
    </w:p>
    <w:tbl>
      <w:tblPr>
        <w:tblStyle w:val="af4"/>
        <w:tblW w:w="0" w:type="auto"/>
        <w:tblLook w:val="04A0" w:firstRow="1" w:lastRow="0" w:firstColumn="1" w:lastColumn="0" w:noHBand="0" w:noVBand="1"/>
      </w:tblPr>
      <w:tblGrid>
        <w:gridCol w:w="9629"/>
      </w:tblGrid>
      <w:tr w:rsidR="00FE7FC6" w:rsidRPr="003B2D6C" w14:paraId="2A5ECA90" w14:textId="77777777" w:rsidTr="00D55649">
        <w:tc>
          <w:tcPr>
            <w:tcW w:w="9629" w:type="dxa"/>
          </w:tcPr>
          <w:p w14:paraId="563745A2" w14:textId="77777777" w:rsidR="00FE7FC6" w:rsidRPr="003B2D6C" w:rsidRDefault="00FE7FC6" w:rsidP="00D55649">
            <w:pPr>
              <w:spacing w:after="0"/>
              <w:jc w:val="both"/>
              <w:rPr>
                <w:lang w:eastAsia="en-US"/>
              </w:rPr>
            </w:pPr>
            <w:r w:rsidRPr="003B2D6C">
              <w:rPr>
                <w:lang w:eastAsia="en-US"/>
              </w:rPr>
              <w:t>RAN1#94bis</w:t>
            </w:r>
          </w:p>
          <w:p w14:paraId="21773E6E" w14:textId="77777777" w:rsidR="00FE7FC6" w:rsidRPr="003B2D6C" w:rsidRDefault="00FE7FC6" w:rsidP="00D55649">
            <w:pPr>
              <w:spacing w:after="0"/>
              <w:jc w:val="both"/>
              <w:rPr>
                <w:lang w:eastAsia="en-US"/>
              </w:rPr>
            </w:pPr>
            <w:r w:rsidRPr="003B2D6C">
              <w:rPr>
                <w:lang w:eastAsia="en-US"/>
              </w:rPr>
              <w:t>Agreements:</w:t>
            </w:r>
          </w:p>
          <w:p w14:paraId="76A2CEFC" w14:textId="77777777" w:rsidR="00FE7FC6" w:rsidRPr="003B2D6C" w:rsidRDefault="00FE7FC6" w:rsidP="00FE7FC6">
            <w:pPr>
              <w:numPr>
                <w:ilvl w:val="0"/>
                <w:numId w:val="21"/>
              </w:numPr>
              <w:spacing w:after="0"/>
              <w:jc w:val="both"/>
              <w:rPr>
                <w:lang w:eastAsia="en-US"/>
              </w:rPr>
            </w:pPr>
            <w:r w:rsidRPr="003B2D6C">
              <w:rPr>
                <w:lang w:eastAsia="en-US"/>
              </w:rPr>
              <w:t>UE assumes a single numerology in using a resource pool.</w:t>
            </w:r>
          </w:p>
          <w:p w14:paraId="5EEB8F42" w14:textId="77777777" w:rsidR="00FE7FC6" w:rsidRPr="003B2D6C" w:rsidRDefault="00FE7FC6" w:rsidP="00D55649">
            <w:pPr>
              <w:spacing w:after="0"/>
              <w:jc w:val="both"/>
              <w:rPr>
                <w:lang w:eastAsia="en-US"/>
              </w:rPr>
            </w:pPr>
            <w:r w:rsidRPr="003B2D6C">
              <w:rPr>
                <w:lang w:eastAsia="en-US"/>
              </w:rPr>
              <w:t>RAN1#95</w:t>
            </w:r>
          </w:p>
          <w:p w14:paraId="0DE3BE9B" w14:textId="77777777" w:rsidR="00FE7FC6" w:rsidRPr="003B2D6C" w:rsidRDefault="00FE7FC6" w:rsidP="00D55649">
            <w:pPr>
              <w:spacing w:after="0"/>
              <w:jc w:val="both"/>
              <w:rPr>
                <w:lang w:eastAsia="en-US"/>
              </w:rPr>
            </w:pPr>
            <w:r w:rsidRPr="003B2D6C">
              <w:rPr>
                <w:lang w:eastAsia="en-US"/>
              </w:rPr>
              <w:t>Agreements:</w:t>
            </w:r>
          </w:p>
          <w:p w14:paraId="7513FBCC" w14:textId="77777777" w:rsidR="00FE7FC6" w:rsidRPr="003B2D6C" w:rsidRDefault="00FE7FC6" w:rsidP="00FE7FC6">
            <w:pPr>
              <w:numPr>
                <w:ilvl w:val="0"/>
                <w:numId w:val="21"/>
              </w:numPr>
              <w:spacing w:after="0"/>
              <w:jc w:val="both"/>
              <w:rPr>
                <w:lang w:eastAsia="en-US"/>
              </w:rPr>
            </w:pPr>
            <w:r w:rsidRPr="003B2D6C">
              <w:rPr>
                <w:lang w:eastAsia="en-US"/>
              </w:rPr>
              <w:t>Each resource pool is (pre)configured within a SL BWP.</w:t>
            </w:r>
          </w:p>
          <w:p w14:paraId="1AAFC9DB" w14:textId="77777777" w:rsidR="00FE7FC6" w:rsidRPr="003B2D6C" w:rsidRDefault="00FE7FC6" w:rsidP="00FE7FC6">
            <w:pPr>
              <w:numPr>
                <w:ilvl w:val="0"/>
                <w:numId w:val="21"/>
              </w:numPr>
              <w:spacing w:after="0"/>
              <w:jc w:val="both"/>
              <w:rPr>
                <w:lang w:eastAsia="en-US"/>
              </w:rPr>
            </w:pPr>
            <w:r w:rsidRPr="003B2D6C">
              <w:rPr>
                <w:lang w:eastAsia="en-US"/>
              </w:rPr>
              <w:t>Only one SL BWP is configured in a carrier for a NR V2X UE. Numerology is a part of SL BWP configuration.</w:t>
            </w:r>
          </w:p>
          <w:p w14:paraId="64DF9D10" w14:textId="77777777" w:rsidR="00FE7FC6" w:rsidRPr="003B2D6C" w:rsidRDefault="00FE7FC6" w:rsidP="00FE7FC6">
            <w:pPr>
              <w:numPr>
                <w:ilvl w:val="0"/>
                <w:numId w:val="21"/>
              </w:numPr>
              <w:spacing w:after="0"/>
              <w:jc w:val="both"/>
              <w:rPr>
                <w:lang w:eastAsia="en-US"/>
              </w:rPr>
            </w:pPr>
            <w:r w:rsidRPr="003B2D6C">
              <w:rPr>
                <w:lang w:eastAsia="en-US"/>
              </w:rPr>
              <w:t>S-SSB has the same numerology, which includes SCS and CP length, as that of control and data channels for a given carrier.</w:t>
            </w:r>
          </w:p>
          <w:p w14:paraId="71996C17" w14:textId="77777777" w:rsidR="00FE7FC6" w:rsidRPr="003B2D6C" w:rsidRDefault="00FE7FC6" w:rsidP="00D55649">
            <w:pPr>
              <w:spacing w:after="0"/>
              <w:jc w:val="both"/>
              <w:rPr>
                <w:lang w:eastAsia="en-US"/>
              </w:rPr>
            </w:pPr>
            <w:r w:rsidRPr="003B2D6C">
              <w:rPr>
                <w:lang w:eastAsia="en-US"/>
              </w:rPr>
              <w:t>RAN1 #AH1901</w:t>
            </w:r>
          </w:p>
          <w:p w14:paraId="25D4A32C" w14:textId="77777777" w:rsidR="00FE7FC6" w:rsidRPr="003B2D6C" w:rsidRDefault="00FE7FC6" w:rsidP="00D55649">
            <w:pPr>
              <w:spacing w:after="0"/>
              <w:jc w:val="both"/>
              <w:rPr>
                <w:lang w:eastAsia="x-none"/>
              </w:rPr>
            </w:pPr>
            <w:r w:rsidRPr="003B2D6C">
              <w:rPr>
                <w:lang w:eastAsia="x-none"/>
              </w:rPr>
              <w:t>Agreements:</w:t>
            </w:r>
          </w:p>
          <w:p w14:paraId="6984895A" w14:textId="77777777" w:rsidR="00FE7FC6" w:rsidRPr="003B2D6C" w:rsidRDefault="00FE7FC6" w:rsidP="00FE7FC6">
            <w:pPr>
              <w:numPr>
                <w:ilvl w:val="0"/>
                <w:numId w:val="21"/>
              </w:numPr>
              <w:spacing w:after="0"/>
              <w:jc w:val="both"/>
              <w:rPr>
                <w:lang w:val="en-GB" w:eastAsia="en-US"/>
              </w:rPr>
            </w:pPr>
            <w:r w:rsidRPr="003B2D6C">
              <w:rPr>
                <w:lang w:eastAsia="en-US"/>
              </w:rPr>
              <w:t>Only one SL BWP is configured in a carrier for a NR V2X UE.</w:t>
            </w:r>
          </w:p>
          <w:p w14:paraId="1C962EA5" w14:textId="77777777" w:rsidR="00FE7FC6" w:rsidRPr="003B2D6C" w:rsidRDefault="00FE7FC6" w:rsidP="00FE7FC6">
            <w:pPr>
              <w:numPr>
                <w:ilvl w:val="0"/>
                <w:numId w:val="21"/>
              </w:numPr>
              <w:spacing w:after="0"/>
              <w:jc w:val="both"/>
              <w:rPr>
                <w:lang w:val="en-GB" w:eastAsia="en-US"/>
              </w:rPr>
            </w:pPr>
            <w:r w:rsidRPr="003B2D6C">
              <w:rPr>
                <w:lang w:eastAsia="en-US"/>
              </w:rPr>
              <w:t>Configuration for SL BWP is separated from Uu BWP configuration signalling.</w:t>
            </w:r>
          </w:p>
          <w:p w14:paraId="48882777" w14:textId="77777777" w:rsidR="00FE7FC6" w:rsidRPr="003B2D6C" w:rsidRDefault="00FE7FC6" w:rsidP="00D55649">
            <w:pPr>
              <w:jc w:val="both"/>
              <w:rPr>
                <w:lang w:eastAsia="ja-JP" w:bidi="hi-IN"/>
              </w:rPr>
            </w:pPr>
            <w:r w:rsidRPr="003B2D6C">
              <w:t>UE is not expected to use different numerology in the configured SL BWP and active UL BWP in the same carrier at a given time.</w:t>
            </w:r>
          </w:p>
        </w:tc>
      </w:tr>
    </w:tbl>
    <w:p w14:paraId="118DB0FC" w14:textId="77777777" w:rsidR="00FE7FC6" w:rsidRPr="003B2D6C" w:rsidRDefault="00FE7FC6" w:rsidP="00FE7FC6">
      <w:pPr>
        <w:spacing w:before="120"/>
        <w:jc w:val="both"/>
        <w:rPr>
          <w:b/>
          <w:i/>
        </w:rPr>
      </w:pPr>
      <w:bookmarkStart w:id="8" w:name="_Ref31893525"/>
      <w:r w:rsidRPr="003B2D6C">
        <w:rPr>
          <w:b/>
          <w:i/>
        </w:rPr>
        <w:t xml:space="preserve">Proposal </w:t>
      </w:r>
      <w:r w:rsidRPr="003B2D6C">
        <w:rPr>
          <w:b/>
          <w:i/>
        </w:rPr>
        <w:fldChar w:fldCharType="begin"/>
      </w:r>
      <w:r w:rsidRPr="003B2D6C">
        <w:rPr>
          <w:b/>
          <w:i/>
        </w:rPr>
        <w:instrText xml:space="preserve"> SEQ Proposal \* ARABIC </w:instrText>
      </w:r>
      <w:r w:rsidRPr="003B2D6C">
        <w:rPr>
          <w:b/>
          <w:i/>
        </w:rPr>
        <w:fldChar w:fldCharType="separate"/>
      </w:r>
      <w:r w:rsidR="00A52CBA" w:rsidRPr="003B2D6C">
        <w:rPr>
          <w:b/>
          <w:i/>
          <w:noProof/>
        </w:rPr>
        <w:t>3</w:t>
      </w:r>
      <w:r w:rsidRPr="003B2D6C">
        <w:rPr>
          <w:b/>
          <w:i/>
        </w:rPr>
        <w:fldChar w:fldCharType="end"/>
      </w:r>
      <w:r w:rsidRPr="003B2D6C">
        <w:rPr>
          <w:b/>
          <w:i/>
        </w:rPr>
        <w:t>: UE is allowed to drop up to 2 slots of its V2X data reception per PSBCH monitoring occasion and overall drop rate shall not exceed [0.3%] of its V2X data reception during T</w:t>
      </w:r>
      <w:r w:rsidRPr="003B2D6C">
        <w:rPr>
          <w:b/>
          <w:i/>
          <w:vertAlign w:val="subscript"/>
        </w:rPr>
        <w:t>detect,SyncRef UE_V2X</w:t>
      </w:r>
      <w:r w:rsidRPr="003B2D6C">
        <w:rPr>
          <w:b/>
          <w:i/>
        </w:rPr>
        <w:t xml:space="preserve"> for the purpose of selection / reselection to the SyncRef UE. T</w:t>
      </w:r>
      <w:r w:rsidRPr="003B2D6C">
        <w:rPr>
          <w:b/>
          <w:i/>
          <w:vertAlign w:val="subscript"/>
        </w:rPr>
        <w:t xml:space="preserve">detect,SyncRef UE_V2X </w:t>
      </w:r>
      <w:r w:rsidRPr="003B2D6C">
        <w:rPr>
          <w:b/>
          <w:i/>
        </w:rPr>
        <w:t>is defined as follow.</w:t>
      </w:r>
      <w:bookmarkEnd w:id="8"/>
    </w:p>
    <w:tbl>
      <w:tblPr>
        <w:tblStyle w:val="af4"/>
        <w:tblW w:w="0" w:type="auto"/>
        <w:tblInd w:w="2689" w:type="dxa"/>
        <w:tblLook w:val="04A0" w:firstRow="1" w:lastRow="0" w:firstColumn="1" w:lastColumn="0" w:noHBand="0" w:noVBand="1"/>
      </w:tblPr>
      <w:tblGrid>
        <w:gridCol w:w="1417"/>
        <w:gridCol w:w="2126"/>
      </w:tblGrid>
      <w:tr w:rsidR="00FE7FC6" w:rsidRPr="003B2D6C" w14:paraId="00B37004" w14:textId="77777777" w:rsidTr="00A52CBA">
        <w:tc>
          <w:tcPr>
            <w:tcW w:w="1417" w:type="dxa"/>
          </w:tcPr>
          <w:p w14:paraId="03CB6FA5" w14:textId="77777777" w:rsidR="00FE7FC6" w:rsidRPr="003B2D6C" w:rsidRDefault="00FE7FC6" w:rsidP="004B1BC6">
            <w:pPr>
              <w:spacing w:after="0"/>
              <w:jc w:val="center"/>
              <w:rPr>
                <w:b/>
                <w:i/>
                <w:lang w:eastAsia="ja-JP" w:bidi="hi-IN"/>
              </w:rPr>
            </w:pPr>
            <w:r w:rsidRPr="003B2D6C">
              <w:rPr>
                <w:b/>
                <w:i/>
                <w:lang w:eastAsia="ja-JP" w:bidi="hi-IN"/>
              </w:rPr>
              <w:t>SCS(KHz)</w:t>
            </w:r>
          </w:p>
        </w:tc>
        <w:tc>
          <w:tcPr>
            <w:tcW w:w="2126" w:type="dxa"/>
          </w:tcPr>
          <w:p w14:paraId="2E86B3FB" w14:textId="77777777" w:rsidR="00FE7FC6" w:rsidRPr="003B2D6C" w:rsidRDefault="00FE7FC6" w:rsidP="004B1BC6">
            <w:pPr>
              <w:spacing w:after="0"/>
              <w:jc w:val="center"/>
              <w:rPr>
                <w:lang w:eastAsia="ja-JP" w:bidi="hi-IN"/>
              </w:rPr>
            </w:pPr>
            <w:r w:rsidRPr="003B2D6C">
              <w:rPr>
                <w:b/>
                <w:i/>
              </w:rPr>
              <w:t>T</w:t>
            </w:r>
            <w:r w:rsidRPr="003B2D6C">
              <w:rPr>
                <w:b/>
                <w:i/>
                <w:vertAlign w:val="subscript"/>
              </w:rPr>
              <w:t>detect,SyncRef UE_V2X</w:t>
            </w:r>
            <w:r w:rsidRPr="003B2D6C">
              <w:rPr>
                <w:b/>
                <w:i/>
              </w:rPr>
              <w:t>(s)</w:t>
            </w:r>
          </w:p>
        </w:tc>
      </w:tr>
      <w:tr w:rsidR="00FE7FC6" w:rsidRPr="003B2D6C" w14:paraId="5256D757" w14:textId="77777777" w:rsidTr="00A52CBA">
        <w:tc>
          <w:tcPr>
            <w:tcW w:w="1417" w:type="dxa"/>
          </w:tcPr>
          <w:p w14:paraId="7EDCF608" w14:textId="77777777" w:rsidR="00FE7FC6" w:rsidRPr="003B2D6C" w:rsidRDefault="00FE7FC6" w:rsidP="004B1BC6">
            <w:pPr>
              <w:spacing w:after="0"/>
              <w:jc w:val="center"/>
              <w:rPr>
                <w:b/>
                <w:i/>
                <w:lang w:eastAsia="ja-JP" w:bidi="hi-IN"/>
              </w:rPr>
            </w:pPr>
            <w:r w:rsidRPr="003B2D6C">
              <w:rPr>
                <w:b/>
                <w:i/>
                <w:lang w:eastAsia="ja-JP" w:bidi="hi-IN"/>
              </w:rPr>
              <w:t>15</w:t>
            </w:r>
          </w:p>
        </w:tc>
        <w:tc>
          <w:tcPr>
            <w:tcW w:w="2126" w:type="dxa"/>
          </w:tcPr>
          <w:p w14:paraId="7DD79407" w14:textId="77777777" w:rsidR="00FE7FC6" w:rsidRPr="003B2D6C" w:rsidRDefault="00FE7FC6" w:rsidP="004B1BC6">
            <w:pPr>
              <w:spacing w:after="0"/>
              <w:jc w:val="center"/>
              <w:rPr>
                <w:b/>
                <w:i/>
                <w:lang w:eastAsia="ja-JP" w:bidi="hi-IN"/>
              </w:rPr>
            </w:pPr>
            <w:r w:rsidRPr="003B2D6C">
              <w:rPr>
                <w:b/>
                <w:i/>
                <w:lang w:eastAsia="ja-JP" w:bidi="hi-IN"/>
              </w:rPr>
              <w:t>8</w:t>
            </w:r>
          </w:p>
        </w:tc>
      </w:tr>
      <w:tr w:rsidR="00FE7FC6" w:rsidRPr="003B2D6C" w14:paraId="56E38310" w14:textId="77777777" w:rsidTr="00A52CBA">
        <w:tc>
          <w:tcPr>
            <w:tcW w:w="1417" w:type="dxa"/>
          </w:tcPr>
          <w:p w14:paraId="688FF5C0" w14:textId="77777777" w:rsidR="00FE7FC6" w:rsidRPr="003B2D6C" w:rsidRDefault="00FE7FC6" w:rsidP="004B1BC6">
            <w:pPr>
              <w:spacing w:after="0"/>
              <w:jc w:val="center"/>
              <w:rPr>
                <w:b/>
                <w:i/>
                <w:lang w:eastAsia="ja-JP" w:bidi="hi-IN"/>
              </w:rPr>
            </w:pPr>
            <w:r w:rsidRPr="003B2D6C">
              <w:rPr>
                <w:b/>
                <w:i/>
                <w:lang w:eastAsia="ja-JP" w:bidi="hi-IN"/>
              </w:rPr>
              <w:t>30</w:t>
            </w:r>
          </w:p>
        </w:tc>
        <w:tc>
          <w:tcPr>
            <w:tcW w:w="2126" w:type="dxa"/>
          </w:tcPr>
          <w:p w14:paraId="75D3BC16" w14:textId="77777777" w:rsidR="00FE7FC6" w:rsidRPr="003B2D6C" w:rsidRDefault="00FE7FC6" w:rsidP="004B1BC6">
            <w:pPr>
              <w:spacing w:after="0"/>
              <w:jc w:val="center"/>
              <w:rPr>
                <w:b/>
                <w:i/>
                <w:lang w:eastAsia="ja-JP" w:bidi="hi-IN"/>
              </w:rPr>
            </w:pPr>
            <w:r w:rsidRPr="003B2D6C">
              <w:rPr>
                <w:b/>
                <w:i/>
                <w:lang w:eastAsia="ja-JP" w:bidi="hi-IN"/>
              </w:rPr>
              <w:t>4</w:t>
            </w:r>
          </w:p>
        </w:tc>
      </w:tr>
      <w:tr w:rsidR="00FE7FC6" w:rsidRPr="003B2D6C" w14:paraId="6CF25549" w14:textId="77777777" w:rsidTr="00A52CBA">
        <w:tc>
          <w:tcPr>
            <w:tcW w:w="1417" w:type="dxa"/>
          </w:tcPr>
          <w:p w14:paraId="7127EC61" w14:textId="77777777" w:rsidR="00FE7FC6" w:rsidRPr="003B2D6C" w:rsidRDefault="00FE7FC6" w:rsidP="004B1BC6">
            <w:pPr>
              <w:spacing w:after="0"/>
              <w:jc w:val="center"/>
              <w:rPr>
                <w:b/>
                <w:i/>
                <w:lang w:eastAsia="ja-JP" w:bidi="hi-IN"/>
              </w:rPr>
            </w:pPr>
            <w:r w:rsidRPr="003B2D6C">
              <w:rPr>
                <w:b/>
                <w:i/>
                <w:lang w:eastAsia="ja-JP" w:bidi="hi-IN"/>
              </w:rPr>
              <w:t>60</w:t>
            </w:r>
          </w:p>
        </w:tc>
        <w:tc>
          <w:tcPr>
            <w:tcW w:w="2126" w:type="dxa"/>
          </w:tcPr>
          <w:p w14:paraId="23A430D6" w14:textId="77777777" w:rsidR="00FE7FC6" w:rsidRPr="003B2D6C" w:rsidRDefault="00FE7FC6" w:rsidP="004B1BC6">
            <w:pPr>
              <w:spacing w:after="0"/>
              <w:jc w:val="center"/>
              <w:rPr>
                <w:b/>
                <w:i/>
                <w:lang w:eastAsia="ja-JP" w:bidi="hi-IN"/>
              </w:rPr>
            </w:pPr>
            <w:r w:rsidRPr="003B2D6C">
              <w:rPr>
                <w:b/>
                <w:i/>
                <w:lang w:eastAsia="ja-JP" w:bidi="hi-IN"/>
              </w:rPr>
              <w:t>2</w:t>
            </w:r>
          </w:p>
        </w:tc>
      </w:tr>
      <w:tr w:rsidR="00FE7FC6" w14:paraId="313FDC38" w14:textId="77777777" w:rsidTr="00A52CBA">
        <w:tc>
          <w:tcPr>
            <w:tcW w:w="1417" w:type="dxa"/>
          </w:tcPr>
          <w:p w14:paraId="27BEBFAA" w14:textId="77777777" w:rsidR="00FE7FC6" w:rsidRPr="003B2D6C" w:rsidRDefault="00FE7FC6" w:rsidP="004B1BC6">
            <w:pPr>
              <w:spacing w:after="0"/>
              <w:jc w:val="center"/>
              <w:rPr>
                <w:b/>
                <w:i/>
                <w:lang w:eastAsia="ja-JP" w:bidi="hi-IN"/>
              </w:rPr>
            </w:pPr>
            <w:r w:rsidRPr="003B2D6C">
              <w:rPr>
                <w:b/>
                <w:i/>
                <w:lang w:eastAsia="ja-JP" w:bidi="hi-IN"/>
              </w:rPr>
              <w:t>120</w:t>
            </w:r>
          </w:p>
        </w:tc>
        <w:tc>
          <w:tcPr>
            <w:tcW w:w="2126" w:type="dxa"/>
          </w:tcPr>
          <w:p w14:paraId="5BCBB732" w14:textId="77777777" w:rsidR="00FE7FC6" w:rsidRPr="002A13E6" w:rsidRDefault="00FE7FC6" w:rsidP="004B1BC6">
            <w:pPr>
              <w:spacing w:after="0"/>
              <w:jc w:val="center"/>
              <w:rPr>
                <w:b/>
                <w:i/>
                <w:lang w:eastAsia="ja-JP" w:bidi="hi-IN"/>
              </w:rPr>
            </w:pPr>
            <w:r w:rsidRPr="003B2D6C">
              <w:rPr>
                <w:b/>
                <w:i/>
                <w:lang w:eastAsia="ja-JP" w:bidi="hi-IN"/>
              </w:rPr>
              <w:t>1</w:t>
            </w:r>
          </w:p>
        </w:tc>
      </w:tr>
    </w:tbl>
    <w:p w14:paraId="290892E4" w14:textId="70381957" w:rsidR="00A24102" w:rsidRDefault="00A24102" w:rsidP="005C54FF">
      <w:pPr>
        <w:pStyle w:val="1"/>
        <w:numPr>
          <w:ilvl w:val="0"/>
          <w:numId w:val="1"/>
        </w:numPr>
        <w:rPr>
          <w:rFonts w:ascii="Calibri" w:hAnsi="Calibri"/>
        </w:rPr>
      </w:pPr>
      <w:r w:rsidRPr="00A24102">
        <w:rPr>
          <w:rFonts w:ascii="Calibri" w:hAnsi="Calibri"/>
        </w:rPr>
        <w:t>I</w:t>
      </w:r>
      <w:r w:rsidRPr="00A24102">
        <w:rPr>
          <w:rFonts w:ascii="Calibri" w:hAnsi="Calibri" w:hint="eastAsia"/>
        </w:rPr>
        <w:t>ni</w:t>
      </w:r>
      <w:r w:rsidRPr="00A24102">
        <w:rPr>
          <w:rFonts w:ascii="Calibri" w:hAnsi="Calibri"/>
        </w:rPr>
        <w:t>tiation/Cease of SLSS transmission</w:t>
      </w:r>
    </w:p>
    <w:p w14:paraId="7EEB69AA" w14:textId="0CA53F0A" w:rsidR="00F57C63" w:rsidRPr="00F57C63" w:rsidRDefault="00F57C63" w:rsidP="00B678D0">
      <w:pPr>
        <w:jc w:val="both"/>
        <w:rPr>
          <w:lang w:val="en-GB"/>
        </w:rPr>
      </w:pPr>
      <w:r w:rsidRPr="00F57C63">
        <w:rPr>
          <w:lang w:val="en-GB"/>
        </w:rPr>
        <w:t>The remaining issue</w:t>
      </w:r>
      <w:r>
        <w:rPr>
          <w:lang w:val="en-GB"/>
        </w:rPr>
        <w:t xml:space="preserve"> is the side condition for initiation/cease of SLSS transmission when </w:t>
      </w:r>
      <w:r w:rsidRPr="00026C4E">
        <w:rPr>
          <w:lang w:val="en-GB"/>
        </w:rPr>
        <w:t xml:space="preserve">SyncRef UE </w:t>
      </w:r>
      <w:r>
        <w:rPr>
          <w:lang w:val="en-GB"/>
        </w:rPr>
        <w:t xml:space="preserve">is the SyncRef source. The intention of sidelink UE initiates the SLSS transmission is that this sidelink UE is in the </w:t>
      </w:r>
      <w:r>
        <w:rPr>
          <w:lang w:val="en-GB"/>
        </w:rPr>
        <w:lastRenderedPageBreak/>
        <w:t>coverage edge of its SyncRef source.</w:t>
      </w:r>
      <w:r w:rsidR="00F909D1">
        <w:rPr>
          <w:lang w:val="en-GB"/>
        </w:rPr>
        <w:t xml:space="preserve"> This sidelink UE shall transmit the SLSS to maintain the timing of other sidelink UEs which is directly or in-directly synced to this UE. Thus, if the side condition for initiation/cese of SLSS transmission is at a high SNR level, the system performance will be dramatically decreased because too many UEs transmit the SLSS. The same side condition -6dB as NR Uu and LTE V2X is a reasonable value for NR sidelink UEs.</w:t>
      </w:r>
    </w:p>
    <w:p w14:paraId="3E12761A" w14:textId="2056C562" w:rsidR="00291D44" w:rsidRPr="00291D44" w:rsidRDefault="00291D44" w:rsidP="00B678D0">
      <w:pPr>
        <w:jc w:val="both"/>
        <w:rPr>
          <w:b/>
          <w:i/>
        </w:rPr>
      </w:pPr>
      <w:bookmarkStart w:id="9" w:name="_Ref23786457"/>
      <w:r w:rsidRPr="007B3098">
        <w:rPr>
          <w:b/>
          <w:i/>
        </w:rPr>
        <w:t xml:space="preserve">Proposal </w:t>
      </w:r>
      <w:r w:rsidRPr="007B3098">
        <w:rPr>
          <w:b/>
          <w:i/>
        </w:rPr>
        <w:fldChar w:fldCharType="begin"/>
      </w:r>
      <w:r w:rsidRPr="007B3098">
        <w:rPr>
          <w:b/>
          <w:i/>
        </w:rPr>
        <w:instrText xml:space="preserve"> SEQ Proposal \* ARABIC </w:instrText>
      </w:r>
      <w:r w:rsidRPr="007B3098">
        <w:rPr>
          <w:b/>
          <w:i/>
        </w:rPr>
        <w:fldChar w:fldCharType="separate"/>
      </w:r>
      <w:r w:rsidR="00A52CBA">
        <w:rPr>
          <w:b/>
          <w:i/>
          <w:noProof/>
        </w:rPr>
        <w:t>4</w:t>
      </w:r>
      <w:r w:rsidRPr="007B3098">
        <w:rPr>
          <w:b/>
          <w:i/>
        </w:rPr>
        <w:fldChar w:fldCharType="end"/>
      </w:r>
      <w:r w:rsidRPr="007B3098">
        <w:rPr>
          <w:b/>
          <w:i/>
        </w:rPr>
        <w:t>:</w:t>
      </w:r>
      <w:r w:rsidR="00F909D1">
        <w:rPr>
          <w:b/>
          <w:i/>
        </w:rPr>
        <w:t xml:space="preserve"> The</w:t>
      </w:r>
      <w:r>
        <w:rPr>
          <w:b/>
          <w:i/>
        </w:rPr>
        <w:t xml:space="preserve"> </w:t>
      </w:r>
      <w:r w:rsidRPr="00291D44">
        <w:rPr>
          <w:b/>
          <w:i/>
        </w:rPr>
        <w:t xml:space="preserve">same side conditions -6dB </w:t>
      </w:r>
      <w:r w:rsidR="00F909D1">
        <w:rPr>
          <w:b/>
          <w:i/>
        </w:rPr>
        <w:t>as</w:t>
      </w:r>
      <w:r w:rsidRPr="00291D44">
        <w:rPr>
          <w:b/>
          <w:i/>
        </w:rPr>
        <w:t xml:space="preserve"> NR Uu </w:t>
      </w:r>
      <w:r w:rsidR="00F909D1">
        <w:rPr>
          <w:b/>
          <w:i/>
        </w:rPr>
        <w:t xml:space="preserve">and LTE V2X </w:t>
      </w:r>
      <w:r w:rsidRPr="00291D44">
        <w:rPr>
          <w:b/>
          <w:i/>
        </w:rPr>
        <w:t>measurements</w:t>
      </w:r>
      <w:r w:rsidR="00F909D1">
        <w:rPr>
          <w:b/>
          <w:i/>
        </w:rPr>
        <w:t xml:space="preserve"> shall be used in NR sidelink</w:t>
      </w:r>
      <w:r>
        <w:rPr>
          <w:b/>
          <w:i/>
        </w:rPr>
        <w:t>.</w:t>
      </w:r>
      <w:bookmarkEnd w:id="9"/>
    </w:p>
    <w:p w14:paraId="7C6FC139" w14:textId="77777777" w:rsidR="00CE0D5E" w:rsidRPr="000C45FD" w:rsidRDefault="00141644" w:rsidP="005C54FF">
      <w:pPr>
        <w:pStyle w:val="1"/>
        <w:numPr>
          <w:ilvl w:val="0"/>
          <w:numId w:val="1"/>
        </w:numPr>
        <w:rPr>
          <w:rFonts w:ascii="Calibri" w:hAnsi="Calibri"/>
          <w:lang w:eastAsia="zh-CN"/>
        </w:rPr>
      </w:pPr>
      <w:r>
        <w:rPr>
          <w:rFonts w:ascii="Calibri" w:hAnsi="Calibri"/>
        </w:rPr>
        <w:t>Summary</w:t>
      </w:r>
    </w:p>
    <w:p w14:paraId="66549B52" w14:textId="7EC98D5E"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 xml:space="preserve">have some discussion on </w:t>
      </w:r>
      <w:r w:rsidR="004661DA">
        <w:t>synchronization related requirement</w:t>
      </w:r>
      <w:r w:rsidR="00850646">
        <w:t>.</w:t>
      </w:r>
    </w:p>
    <w:p w14:paraId="0A0F7F28" w14:textId="200FB1A9" w:rsidR="00ED756B" w:rsidRP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_Ref20669724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A52CBA" w:rsidRPr="00A52CBA">
        <w:rPr>
          <w:rFonts w:asciiTheme="minorHAnsi" w:hAnsiTheme="minorHAnsi" w:cstheme="minorHAnsi"/>
          <w:i/>
        </w:rPr>
        <w:t xml:space="preserve">Observation </w:t>
      </w:r>
      <w:r w:rsidR="00A52CBA" w:rsidRPr="00A52CBA">
        <w:rPr>
          <w:rFonts w:asciiTheme="minorHAnsi" w:hAnsiTheme="minorHAnsi" w:cstheme="minorHAnsi"/>
          <w:i/>
          <w:noProof/>
        </w:rPr>
        <w:t>1</w:t>
      </w:r>
      <w:r w:rsidR="00A52CBA" w:rsidRPr="00A52CBA">
        <w:rPr>
          <w:rFonts w:asciiTheme="minorHAnsi" w:hAnsiTheme="minorHAnsi" w:cstheme="minorHAnsi"/>
          <w:i/>
        </w:rPr>
        <w:t>: From RAN4’s view, the measurement uncertainty will result in ping-pong initiation of SLSS transmission.</w:t>
      </w:r>
      <w:r w:rsidRPr="00F107D7">
        <w:rPr>
          <w:rFonts w:asciiTheme="minorHAnsi" w:hAnsiTheme="minorHAnsi" w:cstheme="minorHAnsi"/>
          <w:lang w:val="en-US"/>
        </w:rPr>
        <w:fldChar w:fldCharType="end"/>
      </w:r>
    </w:p>
    <w:p w14:paraId="12008FB4" w14:textId="151F5F6A" w:rsidR="00F107D7" w:rsidRP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_Ref536692254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A52CBA" w:rsidRPr="00A52CBA">
        <w:rPr>
          <w:rFonts w:asciiTheme="minorHAnsi" w:hAnsiTheme="minorHAnsi" w:cstheme="minorHAnsi"/>
          <w:i/>
        </w:rPr>
        <w:t xml:space="preserve">Observation </w:t>
      </w:r>
      <w:r w:rsidR="00A52CBA" w:rsidRPr="00A52CBA">
        <w:rPr>
          <w:rFonts w:asciiTheme="minorHAnsi" w:hAnsiTheme="minorHAnsi" w:cstheme="minorHAnsi"/>
          <w:i/>
          <w:noProof/>
        </w:rPr>
        <w:t>2</w:t>
      </w:r>
      <w:r w:rsidR="00A52CBA" w:rsidRPr="00A52CBA">
        <w:rPr>
          <w:rFonts w:asciiTheme="minorHAnsi" w:hAnsiTheme="minorHAnsi" w:cstheme="minorHAnsi"/>
          <w:i/>
        </w:rPr>
        <w:t>: In NR IDLE mode, a measurement margin is added to the RSRP velue to avoid the ping-pong selection between serving cell and target best cell.</w:t>
      </w:r>
      <w:r w:rsidRPr="00F107D7">
        <w:rPr>
          <w:rFonts w:asciiTheme="minorHAnsi" w:hAnsiTheme="minorHAnsi" w:cstheme="minorHAnsi"/>
          <w:lang w:val="en-US"/>
        </w:rPr>
        <w:fldChar w:fldCharType="end"/>
      </w:r>
    </w:p>
    <w:p w14:paraId="01C64874" w14:textId="6F9C0FC4" w:rsidR="00F107D7" w:rsidRP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_Ref30692752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A52CBA" w:rsidRPr="00A52CBA">
        <w:rPr>
          <w:rFonts w:asciiTheme="minorHAnsi" w:hAnsiTheme="minorHAnsi" w:cstheme="minorHAnsi"/>
          <w:i/>
        </w:rPr>
        <w:t xml:space="preserve">Observation </w:t>
      </w:r>
      <w:r w:rsidR="00A52CBA" w:rsidRPr="00A52CBA">
        <w:rPr>
          <w:rFonts w:asciiTheme="minorHAnsi" w:hAnsiTheme="minorHAnsi" w:cstheme="minorHAnsi"/>
          <w:i/>
          <w:noProof/>
        </w:rPr>
        <w:t>3</w:t>
      </w:r>
      <w:r w:rsidR="00A52CBA" w:rsidRPr="00A52CBA">
        <w:rPr>
          <w:rFonts w:asciiTheme="minorHAnsi" w:hAnsiTheme="minorHAnsi" w:cstheme="minorHAnsi"/>
          <w:i/>
        </w:rPr>
        <w:t>: In LTE V2X, 2 subframes data reception dropping is permitted when UE is monitoring the PSBCH of potential SyncRef source.</w:t>
      </w:r>
      <w:r w:rsidRPr="00F107D7">
        <w:rPr>
          <w:rFonts w:asciiTheme="minorHAnsi" w:hAnsiTheme="minorHAnsi" w:cstheme="minorHAnsi"/>
          <w:lang w:val="en-US"/>
        </w:rPr>
        <w:fldChar w:fldCharType="end"/>
      </w:r>
    </w:p>
    <w:p w14:paraId="0F6190F4" w14:textId="5115BD20" w:rsidR="00F107D7" w:rsidRP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_Ref30692757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A52CBA" w:rsidRPr="00A52CBA">
        <w:rPr>
          <w:rFonts w:asciiTheme="minorHAnsi" w:hAnsiTheme="minorHAnsi" w:cstheme="minorHAnsi"/>
          <w:i/>
        </w:rPr>
        <w:t xml:space="preserve">Proposal </w:t>
      </w:r>
      <w:r w:rsidR="00A52CBA" w:rsidRPr="00A52CBA">
        <w:rPr>
          <w:rFonts w:asciiTheme="minorHAnsi" w:hAnsiTheme="minorHAnsi" w:cstheme="minorHAnsi"/>
          <w:i/>
          <w:noProof/>
        </w:rPr>
        <w:t>1</w:t>
      </w:r>
      <w:r w:rsidR="00A52CBA" w:rsidRPr="00A52CBA">
        <w:rPr>
          <w:rFonts w:asciiTheme="minorHAnsi" w:hAnsiTheme="minorHAnsi" w:cstheme="minorHAnsi"/>
          <w:i/>
        </w:rPr>
        <w:t xml:space="preserve">: Use </w:t>
      </w:r>
      <w:r w:rsidR="00A52CBA" w:rsidRPr="00A52CBA">
        <w:rPr>
          <w:rFonts w:asciiTheme="minorHAnsi" w:hAnsiTheme="minorHAnsi" w:cstheme="minorHAnsi"/>
          <w:i/>
          <w:lang w:val="en-US" w:eastAsia="zh-CN"/>
        </w:rPr>
        <w:t>terminology</w:t>
      </w:r>
      <w:r w:rsidR="00A52CBA" w:rsidRPr="00A52CBA">
        <w:rPr>
          <w:rFonts w:asciiTheme="minorHAnsi" w:hAnsiTheme="minorHAnsi" w:cstheme="minorHAnsi"/>
          <w:i/>
        </w:rPr>
        <w:t xml:space="preserve"> ‘sidelink’ </w:t>
      </w:r>
      <w:r w:rsidR="00A52CBA" w:rsidRPr="00A52CBA">
        <w:rPr>
          <w:rFonts w:asciiTheme="minorHAnsi" w:hAnsiTheme="minorHAnsi" w:cstheme="minorHAnsi"/>
          <w:i/>
          <w:lang w:val="en-US" w:eastAsia="zh-CN"/>
        </w:rPr>
        <w:t xml:space="preserve">to replace </w:t>
      </w:r>
      <w:r w:rsidR="00A52CBA" w:rsidRPr="00A52CBA">
        <w:rPr>
          <w:rFonts w:asciiTheme="minorHAnsi" w:hAnsiTheme="minorHAnsi" w:cstheme="minorHAnsi"/>
          <w:i/>
        </w:rPr>
        <w:t>‘</w:t>
      </w:r>
      <w:r w:rsidR="00A52CBA" w:rsidRPr="00A52CBA">
        <w:rPr>
          <w:rFonts w:asciiTheme="minorHAnsi" w:hAnsiTheme="minorHAnsi" w:cstheme="minorHAnsi"/>
          <w:i/>
          <w:lang w:val="en-US" w:eastAsia="zh-CN"/>
        </w:rPr>
        <w:t xml:space="preserve">V2X’ in </w:t>
      </w:r>
      <w:r w:rsidR="00A52CBA" w:rsidRPr="00A52CBA">
        <w:rPr>
          <w:rFonts w:asciiTheme="minorHAnsi" w:hAnsiTheme="minorHAnsi" w:cstheme="minorHAnsi"/>
          <w:i/>
        </w:rPr>
        <w:t xml:space="preserve">all </w:t>
      </w:r>
      <w:r w:rsidR="00A52CBA" w:rsidRPr="00A52CBA">
        <w:rPr>
          <w:rFonts w:asciiTheme="minorHAnsi" w:hAnsiTheme="minorHAnsi" w:cstheme="minorHAnsi"/>
          <w:i/>
          <w:lang w:val="en-US" w:eastAsia="zh-CN"/>
        </w:rPr>
        <w:t xml:space="preserve">RAN4’s </w:t>
      </w:r>
      <w:r w:rsidR="00A52CBA" w:rsidRPr="00A52CBA">
        <w:rPr>
          <w:rFonts w:asciiTheme="minorHAnsi" w:hAnsiTheme="minorHAnsi" w:cstheme="minorHAnsi"/>
          <w:i/>
        </w:rPr>
        <w:t xml:space="preserve">sidelink </w:t>
      </w:r>
      <w:r w:rsidR="00A52CBA" w:rsidRPr="00A52CBA">
        <w:rPr>
          <w:rFonts w:asciiTheme="minorHAnsi" w:hAnsiTheme="minorHAnsi" w:cstheme="minorHAnsi"/>
          <w:i/>
          <w:lang w:val="en-US" w:eastAsia="zh-CN"/>
        </w:rPr>
        <w:t>requirement</w:t>
      </w:r>
      <w:r w:rsidR="00A52CBA" w:rsidRPr="00A52CBA">
        <w:rPr>
          <w:rFonts w:asciiTheme="minorHAnsi" w:hAnsiTheme="minorHAnsi" w:cstheme="minorHAnsi"/>
          <w:i/>
        </w:rPr>
        <w:t>.</w:t>
      </w:r>
      <w:r w:rsidRPr="00F107D7">
        <w:rPr>
          <w:rFonts w:asciiTheme="minorHAnsi" w:hAnsiTheme="minorHAnsi" w:cstheme="minorHAnsi"/>
          <w:lang w:val="en-US"/>
        </w:rPr>
        <w:fldChar w:fldCharType="end"/>
      </w:r>
    </w:p>
    <w:p w14:paraId="1A27DC06" w14:textId="4A055642" w:rsid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_Ref30692760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A52CBA" w:rsidRPr="00A52CBA">
        <w:rPr>
          <w:rFonts w:asciiTheme="minorHAnsi" w:hAnsiTheme="minorHAnsi" w:cstheme="minorHAnsi"/>
          <w:i/>
        </w:rPr>
        <w:t xml:space="preserve">Proposal </w:t>
      </w:r>
      <w:r w:rsidR="00A52CBA" w:rsidRPr="00A52CBA">
        <w:rPr>
          <w:rFonts w:asciiTheme="minorHAnsi" w:hAnsiTheme="minorHAnsi" w:cstheme="minorHAnsi"/>
          <w:i/>
          <w:noProof/>
        </w:rPr>
        <w:t>2</w:t>
      </w:r>
      <w:r w:rsidR="00A52CBA" w:rsidRPr="00A52CBA">
        <w:rPr>
          <w:rFonts w:asciiTheme="minorHAnsi" w:hAnsiTheme="minorHAnsi" w:cstheme="minorHAnsi"/>
          <w:i/>
        </w:rPr>
        <w:t>: Similar to NR IDLE mode, the measurement margin should be introduced when reselecting the sync. reference source and initiation of SLSS transmission.</w:t>
      </w:r>
      <w:r w:rsidRPr="00F107D7">
        <w:rPr>
          <w:rFonts w:asciiTheme="minorHAnsi" w:hAnsiTheme="minorHAnsi" w:cstheme="minorHAnsi"/>
          <w:lang w:val="en-US"/>
        </w:rPr>
        <w:fldChar w:fldCharType="end"/>
      </w:r>
    </w:p>
    <w:p w14:paraId="200C1166" w14:textId="5740A9B9" w:rsidR="00A52CBA" w:rsidRDefault="00A52CBA" w:rsidP="004661DA">
      <w:pPr>
        <w:pStyle w:val="TH"/>
        <w:jc w:val="left"/>
        <w:rPr>
          <w:rFonts w:asciiTheme="minorHAnsi" w:hAnsiTheme="minorHAnsi" w:cstheme="minorHAnsi"/>
          <w:lang w:val="en-US"/>
        </w:rPr>
      </w:pPr>
      <w:r w:rsidRPr="00A52CBA">
        <w:rPr>
          <w:rFonts w:asciiTheme="minorHAnsi" w:hAnsiTheme="minorHAnsi" w:cstheme="minorHAnsi"/>
          <w:lang w:val="en-US"/>
        </w:rPr>
        <w:fldChar w:fldCharType="begin"/>
      </w:r>
      <w:r w:rsidRPr="00A52CBA">
        <w:rPr>
          <w:rFonts w:asciiTheme="minorHAnsi" w:hAnsiTheme="minorHAnsi" w:cstheme="minorHAnsi"/>
          <w:lang w:val="en-US"/>
        </w:rPr>
        <w:instrText xml:space="preserve"> REF _Ref31893525 \h </w:instrText>
      </w:r>
      <w:r>
        <w:rPr>
          <w:rFonts w:asciiTheme="minorHAnsi" w:hAnsiTheme="minorHAnsi" w:cstheme="minorHAnsi"/>
          <w:lang w:val="en-US"/>
        </w:rPr>
        <w:instrText xml:space="preserve"> \* MERGEFORMAT </w:instrText>
      </w:r>
      <w:r w:rsidRPr="00A52CBA">
        <w:rPr>
          <w:rFonts w:asciiTheme="minorHAnsi" w:hAnsiTheme="minorHAnsi" w:cstheme="minorHAnsi"/>
          <w:lang w:val="en-US"/>
        </w:rPr>
      </w:r>
      <w:r w:rsidRPr="00A52CBA">
        <w:rPr>
          <w:rFonts w:asciiTheme="minorHAnsi" w:hAnsiTheme="minorHAnsi" w:cstheme="minorHAnsi"/>
          <w:lang w:val="en-US"/>
        </w:rPr>
        <w:fldChar w:fldCharType="separate"/>
      </w:r>
      <w:r w:rsidRPr="00A52CBA">
        <w:rPr>
          <w:rFonts w:asciiTheme="minorHAnsi" w:hAnsiTheme="minorHAnsi"/>
          <w:i/>
        </w:rPr>
        <w:t xml:space="preserve">Proposal </w:t>
      </w:r>
      <w:r w:rsidRPr="00A52CBA">
        <w:rPr>
          <w:rFonts w:asciiTheme="minorHAnsi" w:hAnsiTheme="minorHAnsi"/>
          <w:i/>
          <w:noProof/>
        </w:rPr>
        <w:t>3</w:t>
      </w:r>
      <w:r w:rsidRPr="00A52CBA">
        <w:rPr>
          <w:rFonts w:asciiTheme="minorHAnsi" w:hAnsiTheme="minorHAnsi"/>
          <w:i/>
        </w:rPr>
        <w:t>: UE is allowed to drop up to 2 slots of its V2X data reception per PSBCH monitoring occasion and overall drop rate shall not exceed [0.3%] of its V2X data reception during T</w:t>
      </w:r>
      <w:r w:rsidRPr="00A52CBA">
        <w:rPr>
          <w:rFonts w:asciiTheme="minorHAnsi" w:hAnsiTheme="minorHAnsi"/>
          <w:i/>
          <w:vertAlign w:val="subscript"/>
        </w:rPr>
        <w:t>detect,SyncRef UE_V2X</w:t>
      </w:r>
      <w:r w:rsidRPr="00A52CBA">
        <w:rPr>
          <w:rFonts w:asciiTheme="minorHAnsi" w:hAnsiTheme="minorHAnsi"/>
          <w:i/>
        </w:rPr>
        <w:t xml:space="preserve"> for the purpose of selection / reselection to the SyncRef UE. T</w:t>
      </w:r>
      <w:r w:rsidRPr="00A52CBA">
        <w:rPr>
          <w:rFonts w:asciiTheme="minorHAnsi" w:hAnsiTheme="minorHAnsi"/>
          <w:i/>
          <w:vertAlign w:val="subscript"/>
        </w:rPr>
        <w:t xml:space="preserve">detect,SyncRef UE_V2X </w:t>
      </w:r>
      <w:r w:rsidRPr="00A52CBA">
        <w:rPr>
          <w:rFonts w:asciiTheme="minorHAnsi" w:hAnsiTheme="minorHAnsi"/>
          <w:i/>
        </w:rPr>
        <w:t>is defined as follow.</w:t>
      </w:r>
      <w:r w:rsidRPr="00A52CBA">
        <w:rPr>
          <w:rFonts w:asciiTheme="minorHAnsi" w:hAnsiTheme="minorHAnsi" w:cstheme="minorHAnsi"/>
          <w:lang w:val="en-US"/>
        </w:rPr>
        <w:fldChar w:fldCharType="end"/>
      </w:r>
    </w:p>
    <w:tbl>
      <w:tblPr>
        <w:tblStyle w:val="af4"/>
        <w:tblW w:w="0" w:type="auto"/>
        <w:tblInd w:w="2689" w:type="dxa"/>
        <w:tblLook w:val="04A0" w:firstRow="1" w:lastRow="0" w:firstColumn="1" w:lastColumn="0" w:noHBand="0" w:noVBand="1"/>
      </w:tblPr>
      <w:tblGrid>
        <w:gridCol w:w="1417"/>
        <w:gridCol w:w="2126"/>
      </w:tblGrid>
      <w:tr w:rsidR="00A52CBA" w14:paraId="0C1A01F6" w14:textId="77777777" w:rsidTr="00D55649">
        <w:tc>
          <w:tcPr>
            <w:tcW w:w="1417" w:type="dxa"/>
          </w:tcPr>
          <w:p w14:paraId="004880C8" w14:textId="77777777" w:rsidR="00A52CBA" w:rsidRPr="002A13E6" w:rsidRDefault="00A52CBA" w:rsidP="004B1BC6">
            <w:pPr>
              <w:spacing w:after="0"/>
              <w:jc w:val="center"/>
              <w:rPr>
                <w:b/>
                <w:i/>
                <w:lang w:eastAsia="ja-JP" w:bidi="hi-IN"/>
              </w:rPr>
            </w:pPr>
            <w:r w:rsidRPr="002A13E6">
              <w:rPr>
                <w:b/>
                <w:i/>
                <w:lang w:eastAsia="ja-JP" w:bidi="hi-IN"/>
              </w:rPr>
              <w:t>SCS(KHz)</w:t>
            </w:r>
          </w:p>
        </w:tc>
        <w:tc>
          <w:tcPr>
            <w:tcW w:w="2126" w:type="dxa"/>
          </w:tcPr>
          <w:p w14:paraId="78811BF2" w14:textId="77777777" w:rsidR="00A52CBA" w:rsidRPr="002A13E6" w:rsidRDefault="00A52CBA" w:rsidP="004B1BC6">
            <w:pPr>
              <w:spacing w:after="0"/>
              <w:jc w:val="center"/>
              <w:rPr>
                <w:lang w:eastAsia="ja-JP" w:bidi="hi-IN"/>
              </w:rPr>
            </w:pPr>
            <w:r w:rsidRPr="00CE05A0">
              <w:rPr>
                <w:b/>
                <w:i/>
              </w:rPr>
              <w:t>T</w:t>
            </w:r>
            <w:r w:rsidRPr="002A13E6">
              <w:rPr>
                <w:b/>
                <w:i/>
                <w:vertAlign w:val="subscript"/>
              </w:rPr>
              <w:t>detect,SyncRef UE_V2X</w:t>
            </w:r>
            <w:r>
              <w:rPr>
                <w:b/>
                <w:i/>
              </w:rPr>
              <w:t>(s)</w:t>
            </w:r>
          </w:p>
        </w:tc>
      </w:tr>
      <w:tr w:rsidR="00A52CBA" w14:paraId="5CE4B7C2" w14:textId="77777777" w:rsidTr="00D55649">
        <w:tc>
          <w:tcPr>
            <w:tcW w:w="1417" w:type="dxa"/>
          </w:tcPr>
          <w:p w14:paraId="5CCA0392" w14:textId="77777777" w:rsidR="00A52CBA" w:rsidRPr="002A13E6" w:rsidRDefault="00A52CBA" w:rsidP="004B1BC6">
            <w:pPr>
              <w:spacing w:after="0"/>
              <w:jc w:val="center"/>
              <w:rPr>
                <w:b/>
                <w:i/>
                <w:lang w:eastAsia="ja-JP" w:bidi="hi-IN"/>
              </w:rPr>
            </w:pPr>
            <w:r w:rsidRPr="002A13E6">
              <w:rPr>
                <w:b/>
                <w:i/>
                <w:lang w:eastAsia="ja-JP" w:bidi="hi-IN"/>
              </w:rPr>
              <w:t>15</w:t>
            </w:r>
          </w:p>
        </w:tc>
        <w:tc>
          <w:tcPr>
            <w:tcW w:w="2126" w:type="dxa"/>
          </w:tcPr>
          <w:p w14:paraId="4CF7E3A3" w14:textId="77777777" w:rsidR="00A52CBA" w:rsidRPr="002A13E6" w:rsidRDefault="00A52CBA" w:rsidP="004B1BC6">
            <w:pPr>
              <w:spacing w:after="0"/>
              <w:jc w:val="center"/>
              <w:rPr>
                <w:b/>
                <w:i/>
                <w:lang w:eastAsia="ja-JP" w:bidi="hi-IN"/>
              </w:rPr>
            </w:pPr>
            <w:r w:rsidRPr="002A13E6">
              <w:rPr>
                <w:b/>
                <w:i/>
                <w:lang w:eastAsia="ja-JP" w:bidi="hi-IN"/>
              </w:rPr>
              <w:t>8</w:t>
            </w:r>
          </w:p>
        </w:tc>
      </w:tr>
      <w:tr w:rsidR="00A52CBA" w14:paraId="139F90D8" w14:textId="77777777" w:rsidTr="00D55649">
        <w:tc>
          <w:tcPr>
            <w:tcW w:w="1417" w:type="dxa"/>
          </w:tcPr>
          <w:p w14:paraId="4D6A7B9F" w14:textId="77777777" w:rsidR="00A52CBA" w:rsidRPr="002A13E6" w:rsidRDefault="00A52CBA" w:rsidP="004B1BC6">
            <w:pPr>
              <w:spacing w:after="0"/>
              <w:jc w:val="center"/>
              <w:rPr>
                <w:b/>
                <w:i/>
                <w:lang w:eastAsia="ja-JP" w:bidi="hi-IN"/>
              </w:rPr>
            </w:pPr>
            <w:r w:rsidRPr="002A13E6">
              <w:rPr>
                <w:b/>
                <w:i/>
                <w:lang w:eastAsia="ja-JP" w:bidi="hi-IN"/>
              </w:rPr>
              <w:t>30</w:t>
            </w:r>
          </w:p>
        </w:tc>
        <w:tc>
          <w:tcPr>
            <w:tcW w:w="2126" w:type="dxa"/>
          </w:tcPr>
          <w:p w14:paraId="09155D0E" w14:textId="77777777" w:rsidR="00A52CBA" w:rsidRPr="002A13E6" w:rsidRDefault="00A52CBA" w:rsidP="004B1BC6">
            <w:pPr>
              <w:spacing w:after="0"/>
              <w:jc w:val="center"/>
              <w:rPr>
                <w:b/>
                <w:i/>
                <w:lang w:eastAsia="ja-JP" w:bidi="hi-IN"/>
              </w:rPr>
            </w:pPr>
            <w:r w:rsidRPr="002A13E6">
              <w:rPr>
                <w:b/>
                <w:i/>
                <w:lang w:eastAsia="ja-JP" w:bidi="hi-IN"/>
              </w:rPr>
              <w:t>4</w:t>
            </w:r>
          </w:p>
        </w:tc>
      </w:tr>
      <w:tr w:rsidR="00A52CBA" w14:paraId="1B0BEACA" w14:textId="77777777" w:rsidTr="00D55649">
        <w:tc>
          <w:tcPr>
            <w:tcW w:w="1417" w:type="dxa"/>
          </w:tcPr>
          <w:p w14:paraId="6B846F21" w14:textId="77777777" w:rsidR="00A52CBA" w:rsidRPr="002A13E6" w:rsidRDefault="00A52CBA" w:rsidP="004B1BC6">
            <w:pPr>
              <w:spacing w:after="0"/>
              <w:jc w:val="center"/>
              <w:rPr>
                <w:b/>
                <w:i/>
                <w:lang w:eastAsia="ja-JP" w:bidi="hi-IN"/>
              </w:rPr>
            </w:pPr>
            <w:r w:rsidRPr="002A13E6">
              <w:rPr>
                <w:b/>
                <w:i/>
                <w:lang w:eastAsia="ja-JP" w:bidi="hi-IN"/>
              </w:rPr>
              <w:t>60</w:t>
            </w:r>
          </w:p>
        </w:tc>
        <w:tc>
          <w:tcPr>
            <w:tcW w:w="2126" w:type="dxa"/>
          </w:tcPr>
          <w:p w14:paraId="52A83BD3" w14:textId="77777777" w:rsidR="00A52CBA" w:rsidRPr="002A13E6" w:rsidRDefault="00A52CBA" w:rsidP="004B1BC6">
            <w:pPr>
              <w:spacing w:after="0"/>
              <w:jc w:val="center"/>
              <w:rPr>
                <w:b/>
                <w:i/>
                <w:lang w:eastAsia="ja-JP" w:bidi="hi-IN"/>
              </w:rPr>
            </w:pPr>
            <w:r w:rsidRPr="002A13E6">
              <w:rPr>
                <w:b/>
                <w:i/>
                <w:lang w:eastAsia="ja-JP" w:bidi="hi-IN"/>
              </w:rPr>
              <w:t>2</w:t>
            </w:r>
          </w:p>
        </w:tc>
      </w:tr>
      <w:tr w:rsidR="00A52CBA" w14:paraId="703AF9FB" w14:textId="77777777" w:rsidTr="00D55649">
        <w:tc>
          <w:tcPr>
            <w:tcW w:w="1417" w:type="dxa"/>
          </w:tcPr>
          <w:p w14:paraId="333B18C2" w14:textId="77777777" w:rsidR="00A52CBA" w:rsidRPr="002A13E6" w:rsidRDefault="00A52CBA" w:rsidP="004B1BC6">
            <w:pPr>
              <w:spacing w:after="0"/>
              <w:jc w:val="center"/>
              <w:rPr>
                <w:b/>
                <w:i/>
                <w:lang w:eastAsia="ja-JP" w:bidi="hi-IN"/>
              </w:rPr>
            </w:pPr>
            <w:r w:rsidRPr="002A13E6">
              <w:rPr>
                <w:b/>
                <w:i/>
                <w:lang w:eastAsia="ja-JP" w:bidi="hi-IN"/>
              </w:rPr>
              <w:t>120</w:t>
            </w:r>
          </w:p>
        </w:tc>
        <w:tc>
          <w:tcPr>
            <w:tcW w:w="2126" w:type="dxa"/>
          </w:tcPr>
          <w:p w14:paraId="7D3187FD" w14:textId="77777777" w:rsidR="00A52CBA" w:rsidRPr="002A13E6" w:rsidRDefault="00A52CBA" w:rsidP="004B1BC6">
            <w:pPr>
              <w:spacing w:after="0"/>
              <w:jc w:val="center"/>
              <w:rPr>
                <w:b/>
                <w:i/>
                <w:lang w:eastAsia="ja-JP" w:bidi="hi-IN"/>
              </w:rPr>
            </w:pPr>
            <w:r w:rsidRPr="002A13E6">
              <w:rPr>
                <w:b/>
                <w:i/>
                <w:lang w:eastAsia="ja-JP" w:bidi="hi-IN"/>
              </w:rPr>
              <w:t>1</w:t>
            </w:r>
          </w:p>
        </w:tc>
      </w:tr>
    </w:tbl>
    <w:p w14:paraId="19A8AFF3" w14:textId="49CAEF74" w:rsidR="00F107D7" w:rsidRP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_Ref23786457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A52CBA" w:rsidRPr="00A52CBA">
        <w:rPr>
          <w:rFonts w:asciiTheme="minorHAnsi" w:hAnsiTheme="minorHAnsi" w:cstheme="minorHAnsi"/>
          <w:i/>
        </w:rPr>
        <w:t xml:space="preserve">Proposal </w:t>
      </w:r>
      <w:r w:rsidR="00A52CBA" w:rsidRPr="00A52CBA">
        <w:rPr>
          <w:rFonts w:asciiTheme="minorHAnsi" w:hAnsiTheme="minorHAnsi" w:cstheme="minorHAnsi"/>
          <w:i/>
          <w:noProof/>
        </w:rPr>
        <w:t>4</w:t>
      </w:r>
      <w:r w:rsidR="00A52CBA" w:rsidRPr="00A52CBA">
        <w:rPr>
          <w:rFonts w:asciiTheme="minorHAnsi" w:hAnsiTheme="minorHAnsi" w:cstheme="minorHAnsi"/>
          <w:i/>
        </w:rPr>
        <w:t>: The same side conditions -6dB as NR Uu and LTE V2X measurements shall be used in NR sidelink.</w:t>
      </w:r>
      <w:r w:rsidRPr="00F107D7">
        <w:rPr>
          <w:rFonts w:asciiTheme="minorHAnsi" w:hAnsiTheme="minorHAnsi" w:cstheme="minorHAnsi"/>
          <w:lang w:val="en-US"/>
        </w:rPr>
        <w:fldChar w:fldCharType="end"/>
      </w: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1830A30B" w14:textId="1EEDFACA" w:rsidR="00F35228" w:rsidRDefault="00F35228" w:rsidP="00F35228">
      <w:pPr>
        <w:pStyle w:val="af3"/>
        <w:numPr>
          <w:ilvl w:val="0"/>
          <w:numId w:val="12"/>
        </w:numPr>
      </w:pPr>
      <w:r w:rsidRPr="00F35228">
        <w:rPr>
          <w:lang w:val="en-GB"/>
        </w:rPr>
        <w:t>R4-191</w:t>
      </w:r>
      <w:r w:rsidR="009D0484">
        <w:rPr>
          <w:lang w:val="en-GB"/>
        </w:rPr>
        <w:t>5783</w:t>
      </w:r>
      <w:r>
        <w:rPr>
          <w:lang w:val="en-GB"/>
        </w:rPr>
        <w:t>,</w:t>
      </w:r>
      <w:r w:rsidRPr="00F35228">
        <w:rPr>
          <w:lang w:val="en-GB"/>
        </w:rPr>
        <w:t xml:space="preserve"> </w:t>
      </w:r>
      <w:r>
        <w:rPr>
          <w:lang w:val="en-GB"/>
        </w:rPr>
        <w:t>“</w:t>
      </w:r>
      <w:r w:rsidRPr="00F35228">
        <w:rPr>
          <w:lang w:val="en-GB"/>
        </w:rPr>
        <w:t>WF on NR V2X RRM requirement</w:t>
      </w:r>
      <w:r>
        <w:rPr>
          <w:lang w:val="en-GB"/>
        </w:rPr>
        <w:t xml:space="preserve">”, </w:t>
      </w:r>
      <w:r w:rsidRPr="00F35228">
        <w:t>LG Electronics</w:t>
      </w:r>
    </w:p>
    <w:sectPr w:rsidR="00F3522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9AB07" w14:textId="77777777" w:rsidR="00BD7813" w:rsidRDefault="00BD7813">
      <w:r>
        <w:separator/>
      </w:r>
    </w:p>
  </w:endnote>
  <w:endnote w:type="continuationSeparator" w:id="0">
    <w:p w14:paraId="280C7DBB" w14:textId="77777777" w:rsidR="00BD7813" w:rsidRDefault="00BD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CC5A2" w14:textId="77777777" w:rsidR="00BD7813" w:rsidRDefault="00BD7813">
      <w:r>
        <w:separator/>
      </w:r>
    </w:p>
  </w:footnote>
  <w:footnote w:type="continuationSeparator" w:id="0">
    <w:p w14:paraId="0B2A2FD7" w14:textId="77777777" w:rsidR="00BD7813" w:rsidRDefault="00BD78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61C6"/>
    <w:multiLevelType w:val="hybridMultilevel"/>
    <w:tmpl w:val="5A9A4E18"/>
    <w:lvl w:ilvl="0" w:tplc="522603A2">
      <w:start w:val="1"/>
      <w:numFmt w:val="bullet"/>
      <w:lvlText w:val="•"/>
      <w:lvlJc w:val="left"/>
      <w:pPr>
        <w:tabs>
          <w:tab w:val="num" w:pos="720"/>
        </w:tabs>
        <w:ind w:left="720" w:hanging="360"/>
      </w:pPr>
      <w:rPr>
        <w:rFonts w:ascii="Arial" w:hAnsi="Arial" w:hint="default"/>
      </w:rPr>
    </w:lvl>
    <w:lvl w:ilvl="1" w:tplc="BE1AA054">
      <w:numFmt w:val="bullet"/>
      <w:lvlText w:val="-"/>
      <w:lvlJc w:val="left"/>
      <w:pPr>
        <w:tabs>
          <w:tab w:val="num" w:pos="1440"/>
        </w:tabs>
        <w:ind w:left="1440" w:hanging="360"/>
      </w:pPr>
      <w:rPr>
        <w:rFonts w:ascii="Times New Roman" w:hAnsi="Times New Roman" w:hint="default"/>
      </w:rPr>
    </w:lvl>
    <w:lvl w:ilvl="2" w:tplc="276474B8">
      <w:numFmt w:val="bullet"/>
      <w:lvlText w:val="-"/>
      <w:lvlJc w:val="left"/>
      <w:pPr>
        <w:tabs>
          <w:tab w:val="num" w:pos="2160"/>
        </w:tabs>
        <w:ind w:left="2160" w:hanging="360"/>
      </w:pPr>
      <w:rPr>
        <w:rFonts w:ascii="Times New Roman" w:hAnsi="Times New Roman" w:hint="default"/>
      </w:rPr>
    </w:lvl>
    <w:lvl w:ilvl="3" w:tplc="173A7960" w:tentative="1">
      <w:start w:val="1"/>
      <w:numFmt w:val="bullet"/>
      <w:lvlText w:val="•"/>
      <w:lvlJc w:val="left"/>
      <w:pPr>
        <w:tabs>
          <w:tab w:val="num" w:pos="2880"/>
        </w:tabs>
        <w:ind w:left="2880" w:hanging="360"/>
      </w:pPr>
      <w:rPr>
        <w:rFonts w:ascii="Arial" w:hAnsi="Arial" w:hint="default"/>
      </w:rPr>
    </w:lvl>
    <w:lvl w:ilvl="4" w:tplc="E6E80D0E" w:tentative="1">
      <w:start w:val="1"/>
      <w:numFmt w:val="bullet"/>
      <w:lvlText w:val="•"/>
      <w:lvlJc w:val="left"/>
      <w:pPr>
        <w:tabs>
          <w:tab w:val="num" w:pos="3600"/>
        </w:tabs>
        <w:ind w:left="3600" w:hanging="360"/>
      </w:pPr>
      <w:rPr>
        <w:rFonts w:ascii="Arial" w:hAnsi="Arial" w:hint="default"/>
      </w:rPr>
    </w:lvl>
    <w:lvl w:ilvl="5" w:tplc="1B423C0E" w:tentative="1">
      <w:start w:val="1"/>
      <w:numFmt w:val="bullet"/>
      <w:lvlText w:val="•"/>
      <w:lvlJc w:val="left"/>
      <w:pPr>
        <w:tabs>
          <w:tab w:val="num" w:pos="4320"/>
        </w:tabs>
        <w:ind w:left="4320" w:hanging="360"/>
      </w:pPr>
      <w:rPr>
        <w:rFonts w:ascii="Arial" w:hAnsi="Arial" w:hint="default"/>
      </w:rPr>
    </w:lvl>
    <w:lvl w:ilvl="6" w:tplc="5BC069EA" w:tentative="1">
      <w:start w:val="1"/>
      <w:numFmt w:val="bullet"/>
      <w:lvlText w:val="•"/>
      <w:lvlJc w:val="left"/>
      <w:pPr>
        <w:tabs>
          <w:tab w:val="num" w:pos="5040"/>
        </w:tabs>
        <w:ind w:left="5040" w:hanging="360"/>
      </w:pPr>
      <w:rPr>
        <w:rFonts w:ascii="Arial" w:hAnsi="Arial" w:hint="default"/>
      </w:rPr>
    </w:lvl>
    <w:lvl w:ilvl="7" w:tplc="AD3E9BB8" w:tentative="1">
      <w:start w:val="1"/>
      <w:numFmt w:val="bullet"/>
      <w:lvlText w:val="•"/>
      <w:lvlJc w:val="left"/>
      <w:pPr>
        <w:tabs>
          <w:tab w:val="num" w:pos="5760"/>
        </w:tabs>
        <w:ind w:left="5760" w:hanging="360"/>
      </w:pPr>
      <w:rPr>
        <w:rFonts w:ascii="Arial" w:hAnsi="Arial" w:hint="default"/>
      </w:rPr>
    </w:lvl>
    <w:lvl w:ilvl="8" w:tplc="7812C612"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D7FFD"/>
    <w:multiLevelType w:val="hybridMultilevel"/>
    <w:tmpl w:val="A2EE2F72"/>
    <w:lvl w:ilvl="0" w:tplc="9102983C">
      <w:start w:val="1"/>
      <w:numFmt w:val="bullet"/>
      <w:lvlText w:val="•"/>
      <w:lvlJc w:val="left"/>
      <w:pPr>
        <w:tabs>
          <w:tab w:val="num" w:pos="720"/>
        </w:tabs>
        <w:ind w:left="720" w:hanging="360"/>
      </w:pPr>
      <w:rPr>
        <w:rFonts w:ascii="Arial" w:hAnsi="Arial" w:hint="default"/>
      </w:rPr>
    </w:lvl>
    <w:lvl w:ilvl="1" w:tplc="CE32F982">
      <w:numFmt w:val="bullet"/>
      <w:lvlText w:val="•"/>
      <w:lvlJc w:val="left"/>
      <w:pPr>
        <w:tabs>
          <w:tab w:val="num" w:pos="1440"/>
        </w:tabs>
        <w:ind w:left="1440" w:hanging="360"/>
      </w:pPr>
      <w:rPr>
        <w:rFonts w:ascii="Arial" w:hAnsi="Arial" w:hint="default"/>
      </w:rPr>
    </w:lvl>
    <w:lvl w:ilvl="2" w:tplc="9A5682B2">
      <w:numFmt w:val="bullet"/>
      <w:lvlText w:val="•"/>
      <w:lvlJc w:val="left"/>
      <w:pPr>
        <w:tabs>
          <w:tab w:val="num" w:pos="2160"/>
        </w:tabs>
        <w:ind w:left="2160" w:hanging="360"/>
      </w:pPr>
      <w:rPr>
        <w:rFonts w:ascii="Arial" w:hAnsi="Arial" w:hint="default"/>
      </w:rPr>
    </w:lvl>
    <w:lvl w:ilvl="3" w:tplc="7C9603B2" w:tentative="1">
      <w:start w:val="1"/>
      <w:numFmt w:val="bullet"/>
      <w:lvlText w:val="•"/>
      <w:lvlJc w:val="left"/>
      <w:pPr>
        <w:tabs>
          <w:tab w:val="num" w:pos="2880"/>
        </w:tabs>
        <w:ind w:left="2880" w:hanging="360"/>
      </w:pPr>
      <w:rPr>
        <w:rFonts w:ascii="Arial" w:hAnsi="Arial" w:hint="default"/>
      </w:rPr>
    </w:lvl>
    <w:lvl w:ilvl="4" w:tplc="3794BA12" w:tentative="1">
      <w:start w:val="1"/>
      <w:numFmt w:val="bullet"/>
      <w:lvlText w:val="•"/>
      <w:lvlJc w:val="left"/>
      <w:pPr>
        <w:tabs>
          <w:tab w:val="num" w:pos="3600"/>
        </w:tabs>
        <w:ind w:left="3600" w:hanging="360"/>
      </w:pPr>
      <w:rPr>
        <w:rFonts w:ascii="Arial" w:hAnsi="Arial" w:hint="default"/>
      </w:rPr>
    </w:lvl>
    <w:lvl w:ilvl="5" w:tplc="E3106618" w:tentative="1">
      <w:start w:val="1"/>
      <w:numFmt w:val="bullet"/>
      <w:lvlText w:val="•"/>
      <w:lvlJc w:val="left"/>
      <w:pPr>
        <w:tabs>
          <w:tab w:val="num" w:pos="4320"/>
        </w:tabs>
        <w:ind w:left="4320" w:hanging="360"/>
      </w:pPr>
      <w:rPr>
        <w:rFonts w:ascii="Arial" w:hAnsi="Arial" w:hint="default"/>
      </w:rPr>
    </w:lvl>
    <w:lvl w:ilvl="6" w:tplc="437C48FC" w:tentative="1">
      <w:start w:val="1"/>
      <w:numFmt w:val="bullet"/>
      <w:lvlText w:val="•"/>
      <w:lvlJc w:val="left"/>
      <w:pPr>
        <w:tabs>
          <w:tab w:val="num" w:pos="5040"/>
        </w:tabs>
        <w:ind w:left="5040" w:hanging="360"/>
      </w:pPr>
      <w:rPr>
        <w:rFonts w:ascii="Arial" w:hAnsi="Arial" w:hint="default"/>
      </w:rPr>
    </w:lvl>
    <w:lvl w:ilvl="7" w:tplc="4300B86E" w:tentative="1">
      <w:start w:val="1"/>
      <w:numFmt w:val="bullet"/>
      <w:lvlText w:val="•"/>
      <w:lvlJc w:val="left"/>
      <w:pPr>
        <w:tabs>
          <w:tab w:val="num" w:pos="5760"/>
        </w:tabs>
        <w:ind w:left="5760" w:hanging="360"/>
      </w:pPr>
      <w:rPr>
        <w:rFonts w:ascii="Arial" w:hAnsi="Arial" w:hint="default"/>
      </w:rPr>
    </w:lvl>
    <w:lvl w:ilvl="8" w:tplc="DF86CFD4" w:tentative="1">
      <w:start w:val="1"/>
      <w:numFmt w:val="bullet"/>
      <w:lvlText w:val="•"/>
      <w:lvlJc w:val="left"/>
      <w:pPr>
        <w:tabs>
          <w:tab w:val="num" w:pos="6480"/>
        </w:tabs>
        <w:ind w:left="6480" w:hanging="360"/>
      </w:pPr>
      <w:rPr>
        <w:rFonts w:ascii="Arial" w:hAnsi="Arial" w:hint="default"/>
      </w:rPr>
    </w:lvl>
  </w:abstractNum>
  <w:abstractNum w:abstractNumId="4">
    <w:nsid w:val="1B0F45E3"/>
    <w:multiLevelType w:val="hybridMultilevel"/>
    <w:tmpl w:val="C5FC0052"/>
    <w:lvl w:ilvl="0" w:tplc="95509C3C">
      <w:start w:val="1"/>
      <w:numFmt w:val="bullet"/>
      <w:lvlText w:val="•"/>
      <w:lvlJc w:val="left"/>
      <w:pPr>
        <w:tabs>
          <w:tab w:val="num" w:pos="720"/>
        </w:tabs>
        <w:ind w:left="720" w:hanging="360"/>
      </w:pPr>
      <w:rPr>
        <w:rFonts w:ascii="Arial" w:hAnsi="Arial" w:hint="default"/>
      </w:rPr>
    </w:lvl>
    <w:lvl w:ilvl="1" w:tplc="14A2F4CE">
      <w:numFmt w:val="bullet"/>
      <w:lvlText w:val="•"/>
      <w:lvlJc w:val="left"/>
      <w:pPr>
        <w:tabs>
          <w:tab w:val="num" w:pos="1440"/>
        </w:tabs>
        <w:ind w:left="1440" w:hanging="360"/>
      </w:pPr>
      <w:rPr>
        <w:rFonts w:ascii="Arial" w:hAnsi="Arial" w:hint="default"/>
      </w:rPr>
    </w:lvl>
    <w:lvl w:ilvl="2" w:tplc="0D8E5F38">
      <w:numFmt w:val="bullet"/>
      <w:lvlText w:val="•"/>
      <w:lvlJc w:val="left"/>
      <w:pPr>
        <w:tabs>
          <w:tab w:val="num" w:pos="2160"/>
        </w:tabs>
        <w:ind w:left="2160" w:hanging="360"/>
      </w:pPr>
      <w:rPr>
        <w:rFonts w:ascii="Arial" w:hAnsi="Arial" w:hint="default"/>
      </w:rPr>
    </w:lvl>
    <w:lvl w:ilvl="3" w:tplc="82C4120A">
      <w:numFmt w:val="bullet"/>
      <w:lvlText w:val="•"/>
      <w:lvlJc w:val="left"/>
      <w:pPr>
        <w:tabs>
          <w:tab w:val="num" w:pos="2880"/>
        </w:tabs>
        <w:ind w:left="2880" w:hanging="360"/>
      </w:pPr>
      <w:rPr>
        <w:rFonts w:ascii="Arial" w:hAnsi="Arial" w:hint="default"/>
      </w:rPr>
    </w:lvl>
    <w:lvl w:ilvl="4" w:tplc="57023B8A" w:tentative="1">
      <w:start w:val="1"/>
      <w:numFmt w:val="bullet"/>
      <w:lvlText w:val="•"/>
      <w:lvlJc w:val="left"/>
      <w:pPr>
        <w:tabs>
          <w:tab w:val="num" w:pos="3600"/>
        </w:tabs>
        <w:ind w:left="3600" w:hanging="360"/>
      </w:pPr>
      <w:rPr>
        <w:rFonts w:ascii="Arial" w:hAnsi="Arial" w:hint="default"/>
      </w:rPr>
    </w:lvl>
    <w:lvl w:ilvl="5" w:tplc="7FAEC4BE" w:tentative="1">
      <w:start w:val="1"/>
      <w:numFmt w:val="bullet"/>
      <w:lvlText w:val="•"/>
      <w:lvlJc w:val="left"/>
      <w:pPr>
        <w:tabs>
          <w:tab w:val="num" w:pos="4320"/>
        </w:tabs>
        <w:ind w:left="4320" w:hanging="360"/>
      </w:pPr>
      <w:rPr>
        <w:rFonts w:ascii="Arial" w:hAnsi="Arial" w:hint="default"/>
      </w:rPr>
    </w:lvl>
    <w:lvl w:ilvl="6" w:tplc="5AE44314" w:tentative="1">
      <w:start w:val="1"/>
      <w:numFmt w:val="bullet"/>
      <w:lvlText w:val="•"/>
      <w:lvlJc w:val="left"/>
      <w:pPr>
        <w:tabs>
          <w:tab w:val="num" w:pos="5040"/>
        </w:tabs>
        <w:ind w:left="5040" w:hanging="360"/>
      </w:pPr>
      <w:rPr>
        <w:rFonts w:ascii="Arial" w:hAnsi="Arial" w:hint="default"/>
      </w:rPr>
    </w:lvl>
    <w:lvl w:ilvl="7" w:tplc="D122C238" w:tentative="1">
      <w:start w:val="1"/>
      <w:numFmt w:val="bullet"/>
      <w:lvlText w:val="•"/>
      <w:lvlJc w:val="left"/>
      <w:pPr>
        <w:tabs>
          <w:tab w:val="num" w:pos="5760"/>
        </w:tabs>
        <w:ind w:left="5760" w:hanging="360"/>
      </w:pPr>
      <w:rPr>
        <w:rFonts w:ascii="Arial" w:hAnsi="Arial" w:hint="default"/>
      </w:rPr>
    </w:lvl>
    <w:lvl w:ilvl="8" w:tplc="60CE52FA" w:tentative="1">
      <w:start w:val="1"/>
      <w:numFmt w:val="bullet"/>
      <w:lvlText w:val="•"/>
      <w:lvlJc w:val="left"/>
      <w:pPr>
        <w:tabs>
          <w:tab w:val="num" w:pos="6480"/>
        </w:tabs>
        <w:ind w:left="6480" w:hanging="360"/>
      </w:pPr>
      <w:rPr>
        <w:rFonts w:ascii="Arial" w:hAnsi="Arial" w:hint="default"/>
      </w:rPr>
    </w:lvl>
  </w:abstractNum>
  <w:abstractNum w:abstractNumId="5">
    <w:nsid w:val="23965FEF"/>
    <w:multiLevelType w:val="hybridMultilevel"/>
    <w:tmpl w:val="176E1E4A"/>
    <w:lvl w:ilvl="0" w:tplc="5F3C1A74">
      <w:start w:val="1"/>
      <w:numFmt w:val="bullet"/>
      <w:lvlText w:val="•"/>
      <w:lvlJc w:val="left"/>
      <w:pPr>
        <w:tabs>
          <w:tab w:val="num" w:pos="720"/>
        </w:tabs>
        <w:ind w:left="720" w:hanging="360"/>
      </w:pPr>
      <w:rPr>
        <w:rFonts w:ascii="Arial" w:hAnsi="Arial" w:hint="default"/>
      </w:rPr>
    </w:lvl>
    <w:lvl w:ilvl="1" w:tplc="2D988CBA">
      <w:numFmt w:val="bullet"/>
      <w:lvlText w:val="-"/>
      <w:lvlJc w:val="left"/>
      <w:pPr>
        <w:tabs>
          <w:tab w:val="num" w:pos="1440"/>
        </w:tabs>
        <w:ind w:left="1440" w:hanging="360"/>
      </w:pPr>
      <w:rPr>
        <w:rFonts w:ascii="Times New Roman" w:hAnsi="Times New Roman" w:hint="default"/>
      </w:rPr>
    </w:lvl>
    <w:lvl w:ilvl="2" w:tplc="48C062F4">
      <w:numFmt w:val="bullet"/>
      <w:lvlText w:val="-"/>
      <w:lvlJc w:val="left"/>
      <w:pPr>
        <w:tabs>
          <w:tab w:val="num" w:pos="2160"/>
        </w:tabs>
        <w:ind w:left="2160" w:hanging="360"/>
      </w:pPr>
      <w:rPr>
        <w:rFonts w:ascii="Times New Roman" w:hAnsi="Times New Roman" w:hint="default"/>
      </w:rPr>
    </w:lvl>
    <w:lvl w:ilvl="3" w:tplc="A3D47E06" w:tentative="1">
      <w:start w:val="1"/>
      <w:numFmt w:val="bullet"/>
      <w:lvlText w:val="•"/>
      <w:lvlJc w:val="left"/>
      <w:pPr>
        <w:tabs>
          <w:tab w:val="num" w:pos="2880"/>
        </w:tabs>
        <w:ind w:left="2880" w:hanging="360"/>
      </w:pPr>
      <w:rPr>
        <w:rFonts w:ascii="Arial" w:hAnsi="Arial" w:hint="default"/>
      </w:rPr>
    </w:lvl>
    <w:lvl w:ilvl="4" w:tplc="3B28BDF2" w:tentative="1">
      <w:start w:val="1"/>
      <w:numFmt w:val="bullet"/>
      <w:lvlText w:val="•"/>
      <w:lvlJc w:val="left"/>
      <w:pPr>
        <w:tabs>
          <w:tab w:val="num" w:pos="3600"/>
        </w:tabs>
        <w:ind w:left="3600" w:hanging="360"/>
      </w:pPr>
      <w:rPr>
        <w:rFonts w:ascii="Arial" w:hAnsi="Arial" w:hint="default"/>
      </w:rPr>
    </w:lvl>
    <w:lvl w:ilvl="5" w:tplc="80DA8F4C" w:tentative="1">
      <w:start w:val="1"/>
      <w:numFmt w:val="bullet"/>
      <w:lvlText w:val="•"/>
      <w:lvlJc w:val="left"/>
      <w:pPr>
        <w:tabs>
          <w:tab w:val="num" w:pos="4320"/>
        </w:tabs>
        <w:ind w:left="4320" w:hanging="360"/>
      </w:pPr>
      <w:rPr>
        <w:rFonts w:ascii="Arial" w:hAnsi="Arial" w:hint="default"/>
      </w:rPr>
    </w:lvl>
    <w:lvl w:ilvl="6" w:tplc="01928CF6" w:tentative="1">
      <w:start w:val="1"/>
      <w:numFmt w:val="bullet"/>
      <w:lvlText w:val="•"/>
      <w:lvlJc w:val="left"/>
      <w:pPr>
        <w:tabs>
          <w:tab w:val="num" w:pos="5040"/>
        </w:tabs>
        <w:ind w:left="5040" w:hanging="360"/>
      </w:pPr>
      <w:rPr>
        <w:rFonts w:ascii="Arial" w:hAnsi="Arial" w:hint="default"/>
      </w:rPr>
    </w:lvl>
    <w:lvl w:ilvl="7" w:tplc="4EB60A78" w:tentative="1">
      <w:start w:val="1"/>
      <w:numFmt w:val="bullet"/>
      <w:lvlText w:val="•"/>
      <w:lvlJc w:val="left"/>
      <w:pPr>
        <w:tabs>
          <w:tab w:val="num" w:pos="5760"/>
        </w:tabs>
        <w:ind w:left="5760" w:hanging="360"/>
      </w:pPr>
      <w:rPr>
        <w:rFonts w:ascii="Arial" w:hAnsi="Arial" w:hint="default"/>
      </w:rPr>
    </w:lvl>
    <w:lvl w:ilvl="8" w:tplc="DFD6C1A0"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701276"/>
    <w:multiLevelType w:val="hybridMultilevel"/>
    <w:tmpl w:val="CC4299CC"/>
    <w:lvl w:ilvl="0" w:tplc="B5C4CAA4">
      <w:start w:val="1"/>
      <w:numFmt w:val="bullet"/>
      <w:lvlText w:val="•"/>
      <w:lvlJc w:val="left"/>
      <w:pPr>
        <w:tabs>
          <w:tab w:val="num" w:pos="720"/>
        </w:tabs>
        <w:ind w:left="720" w:hanging="360"/>
      </w:pPr>
      <w:rPr>
        <w:rFonts w:ascii="Arial" w:hAnsi="Arial" w:hint="default"/>
      </w:rPr>
    </w:lvl>
    <w:lvl w:ilvl="1" w:tplc="759ED026">
      <w:numFmt w:val="bullet"/>
      <w:lvlText w:val="•"/>
      <w:lvlJc w:val="left"/>
      <w:pPr>
        <w:tabs>
          <w:tab w:val="num" w:pos="1440"/>
        </w:tabs>
        <w:ind w:left="1440" w:hanging="360"/>
      </w:pPr>
      <w:rPr>
        <w:rFonts w:ascii="Arial" w:hAnsi="Arial" w:hint="default"/>
      </w:rPr>
    </w:lvl>
    <w:lvl w:ilvl="2" w:tplc="D788FD16">
      <w:numFmt w:val="bullet"/>
      <w:lvlText w:val="•"/>
      <w:lvlJc w:val="left"/>
      <w:pPr>
        <w:tabs>
          <w:tab w:val="num" w:pos="2160"/>
        </w:tabs>
        <w:ind w:left="2160" w:hanging="360"/>
      </w:pPr>
      <w:rPr>
        <w:rFonts w:ascii="Arial" w:hAnsi="Arial" w:hint="default"/>
      </w:rPr>
    </w:lvl>
    <w:lvl w:ilvl="3" w:tplc="D4C2C9FE" w:tentative="1">
      <w:start w:val="1"/>
      <w:numFmt w:val="bullet"/>
      <w:lvlText w:val="•"/>
      <w:lvlJc w:val="left"/>
      <w:pPr>
        <w:tabs>
          <w:tab w:val="num" w:pos="2880"/>
        </w:tabs>
        <w:ind w:left="2880" w:hanging="360"/>
      </w:pPr>
      <w:rPr>
        <w:rFonts w:ascii="Arial" w:hAnsi="Arial" w:hint="default"/>
      </w:rPr>
    </w:lvl>
    <w:lvl w:ilvl="4" w:tplc="94A63F08" w:tentative="1">
      <w:start w:val="1"/>
      <w:numFmt w:val="bullet"/>
      <w:lvlText w:val="•"/>
      <w:lvlJc w:val="left"/>
      <w:pPr>
        <w:tabs>
          <w:tab w:val="num" w:pos="3600"/>
        </w:tabs>
        <w:ind w:left="3600" w:hanging="360"/>
      </w:pPr>
      <w:rPr>
        <w:rFonts w:ascii="Arial" w:hAnsi="Arial" w:hint="default"/>
      </w:rPr>
    </w:lvl>
    <w:lvl w:ilvl="5" w:tplc="7B1EC29E" w:tentative="1">
      <w:start w:val="1"/>
      <w:numFmt w:val="bullet"/>
      <w:lvlText w:val="•"/>
      <w:lvlJc w:val="left"/>
      <w:pPr>
        <w:tabs>
          <w:tab w:val="num" w:pos="4320"/>
        </w:tabs>
        <w:ind w:left="4320" w:hanging="360"/>
      </w:pPr>
      <w:rPr>
        <w:rFonts w:ascii="Arial" w:hAnsi="Arial" w:hint="default"/>
      </w:rPr>
    </w:lvl>
    <w:lvl w:ilvl="6" w:tplc="9F4A5178" w:tentative="1">
      <w:start w:val="1"/>
      <w:numFmt w:val="bullet"/>
      <w:lvlText w:val="•"/>
      <w:lvlJc w:val="left"/>
      <w:pPr>
        <w:tabs>
          <w:tab w:val="num" w:pos="5040"/>
        </w:tabs>
        <w:ind w:left="5040" w:hanging="360"/>
      </w:pPr>
      <w:rPr>
        <w:rFonts w:ascii="Arial" w:hAnsi="Arial" w:hint="default"/>
      </w:rPr>
    </w:lvl>
    <w:lvl w:ilvl="7" w:tplc="BE00B80E" w:tentative="1">
      <w:start w:val="1"/>
      <w:numFmt w:val="bullet"/>
      <w:lvlText w:val="•"/>
      <w:lvlJc w:val="left"/>
      <w:pPr>
        <w:tabs>
          <w:tab w:val="num" w:pos="5760"/>
        </w:tabs>
        <w:ind w:left="5760" w:hanging="360"/>
      </w:pPr>
      <w:rPr>
        <w:rFonts w:ascii="Arial" w:hAnsi="Arial" w:hint="default"/>
      </w:rPr>
    </w:lvl>
    <w:lvl w:ilvl="8" w:tplc="91865DBC"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FCA3FC4"/>
    <w:multiLevelType w:val="hybridMultilevel"/>
    <w:tmpl w:val="23D03920"/>
    <w:lvl w:ilvl="0" w:tplc="CF048D16">
      <w:start w:val="1"/>
      <w:numFmt w:val="bullet"/>
      <w:lvlText w:val="-"/>
      <w:lvlJc w:val="left"/>
      <w:pPr>
        <w:tabs>
          <w:tab w:val="num" w:pos="720"/>
        </w:tabs>
        <w:ind w:left="720" w:hanging="360"/>
      </w:pPr>
      <w:rPr>
        <w:rFonts w:ascii="Times New Roman" w:hAnsi="Times New Roman" w:hint="default"/>
      </w:rPr>
    </w:lvl>
    <w:lvl w:ilvl="1" w:tplc="1B24BED0">
      <w:start w:val="1"/>
      <w:numFmt w:val="bullet"/>
      <w:lvlText w:val="-"/>
      <w:lvlJc w:val="left"/>
      <w:pPr>
        <w:tabs>
          <w:tab w:val="num" w:pos="1440"/>
        </w:tabs>
        <w:ind w:left="1440" w:hanging="360"/>
      </w:pPr>
      <w:rPr>
        <w:rFonts w:ascii="Times New Roman" w:hAnsi="Times New Roman" w:hint="default"/>
      </w:rPr>
    </w:lvl>
    <w:lvl w:ilvl="2" w:tplc="B05AF112">
      <w:numFmt w:val="bullet"/>
      <w:lvlText w:val="-"/>
      <w:lvlJc w:val="left"/>
      <w:pPr>
        <w:tabs>
          <w:tab w:val="num" w:pos="2160"/>
        </w:tabs>
        <w:ind w:left="2160" w:hanging="360"/>
      </w:pPr>
      <w:rPr>
        <w:rFonts w:ascii="Times New Roman" w:hAnsi="Times New Roman" w:hint="default"/>
      </w:rPr>
    </w:lvl>
    <w:lvl w:ilvl="3" w:tplc="EDD0FA30" w:tentative="1">
      <w:start w:val="1"/>
      <w:numFmt w:val="bullet"/>
      <w:lvlText w:val="-"/>
      <w:lvlJc w:val="left"/>
      <w:pPr>
        <w:tabs>
          <w:tab w:val="num" w:pos="2880"/>
        </w:tabs>
        <w:ind w:left="2880" w:hanging="360"/>
      </w:pPr>
      <w:rPr>
        <w:rFonts w:ascii="Times New Roman" w:hAnsi="Times New Roman" w:hint="default"/>
      </w:rPr>
    </w:lvl>
    <w:lvl w:ilvl="4" w:tplc="B50649BC" w:tentative="1">
      <w:start w:val="1"/>
      <w:numFmt w:val="bullet"/>
      <w:lvlText w:val="-"/>
      <w:lvlJc w:val="left"/>
      <w:pPr>
        <w:tabs>
          <w:tab w:val="num" w:pos="3600"/>
        </w:tabs>
        <w:ind w:left="3600" w:hanging="360"/>
      </w:pPr>
      <w:rPr>
        <w:rFonts w:ascii="Times New Roman" w:hAnsi="Times New Roman" w:hint="default"/>
      </w:rPr>
    </w:lvl>
    <w:lvl w:ilvl="5" w:tplc="14C63EF8" w:tentative="1">
      <w:start w:val="1"/>
      <w:numFmt w:val="bullet"/>
      <w:lvlText w:val="-"/>
      <w:lvlJc w:val="left"/>
      <w:pPr>
        <w:tabs>
          <w:tab w:val="num" w:pos="4320"/>
        </w:tabs>
        <w:ind w:left="4320" w:hanging="360"/>
      </w:pPr>
      <w:rPr>
        <w:rFonts w:ascii="Times New Roman" w:hAnsi="Times New Roman" w:hint="default"/>
      </w:rPr>
    </w:lvl>
    <w:lvl w:ilvl="6" w:tplc="3A46197C" w:tentative="1">
      <w:start w:val="1"/>
      <w:numFmt w:val="bullet"/>
      <w:lvlText w:val="-"/>
      <w:lvlJc w:val="left"/>
      <w:pPr>
        <w:tabs>
          <w:tab w:val="num" w:pos="5040"/>
        </w:tabs>
        <w:ind w:left="5040" w:hanging="360"/>
      </w:pPr>
      <w:rPr>
        <w:rFonts w:ascii="Times New Roman" w:hAnsi="Times New Roman" w:hint="default"/>
      </w:rPr>
    </w:lvl>
    <w:lvl w:ilvl="7" w:tplc="2814062C" w:tentative="1">
      <w:start w:val="1"/>
      <w:numFmt w:val="bullet"/>
      <w:lvlText w:val="-"/>
      <w:lvlJc w:val="left"/>
      <w:pPr>
        <w:tabs>
          <w:tab w:val="num" w:pos="5760"/>
        </w:tabs>
        <w:ind w:left="5760" w:hanging="360"/>
      </w:pPr>
      <w:rPr>
        <w:rFonts w:ascii="Times New Roman" w:hAnsi="Times New Roman" w:hint="default"/>
      </w:rPr>
    </w:lvl>
    <w:lvl w:ilvl="8" w:tplc="3E26AD4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18">
    <w:nsid w:val="6D900757"/>
    <w:multiLevelType w:val="multilevel"/>
    <w:tmpl w:val="0E98272A"/>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7D8244C0"/>
    <w:multiLevelType w:val="hybridMultilevel"/>
    <w:tmpl w:val="F26A7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0"/>
  </w:num>
  <w:num w:numId="3">
    <w:abstractNumId w:val="2"/>
  </w:num>
  <w:num w:numId="4">
    <w:abstractNumId w:val="0"/>
  </w:num>
  <w:num w:numId="5">
    <w:abstractNumId w:val="7"/>
  </w:num>
  <w:num w:numId="6">
    <w:abstractNumId w:val="15"/>
  </w:num>
  <w:num w:numId="7">
    <w:abstractNumId w:val="12"/>
  </w:num>
  <w:num w:numId="8">
    <w:abstractNumId w:val="6"/>
  </w:num>
  <w:num w:numId="9">
    <w:abstractNumId w:val="8"/>
  </w:num>
  <w:num w:numId="10">
    <w:abstractNumId w:val="17"/>
  </w:num>
  <w:num w:numId="11">
    <w:abstractNumId w:val="13"/>
  </w:num>
  <w:num w:numId="12">
    <w:abstractNumId w:val="11"/>
  </w:num>
  <w:num w:numId="13">
    <w:abstractNumId w:val="16"/>
  </w:num>
  <w:num w:numId="14">
    <w:abstractNumId w:val="4"/>
  </w:num>
  <w:num w:numId="15">
    <w:abstractNumId w:val="5"/>
  </w:num>
  <w:num w:numId="16">
    <w:abstractNumId w:val="1"/>
  </w:num>
  <w:num w:numId="17">
    <w:abstractNumId w:val="14"/>
  </w:num>
  <w:num w:numId="18">
    <w:abstractNumId w:val="9"/>
  </w:num>
  <w:num w:numId="19">
    <w:abstractNumId w:val="3"/>
  </w:num>
  <w:num w:numId="20">
    <w:abstractNumId w:val="19"/>
  </w:num>
  <w:num w:numId="2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E0B"/>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1C2"/>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C72"/>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71F"/>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85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BE"/>
    <w:rsid w:val="001729D3"/>
    <w:rsid w:val="00172DC0"/>
    <w:rsid w:val="0017329A"/>
    <w:rsid w:val="00173F96"/>
    <w:rsid w:val="00174EC2"/>
    <w:rsid w:val="0017551C"/>
    <w:rsid w:val="001756C2"/>
    <w:rsid w:val="00175715"/>
    <w:rsid w:val="00175CD8"/>
    <w:rsid w:val="00176645"/>
    <w:rsid w:val="00176ED6"/>
    <w:rsid w:val="001778F5"/>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5FCD"/>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D9"/>
    <w:rsid w:val="001B286C"/>
    <w:rsid w:val="001B2CDB"/>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784"/>
    <w:rsid w:val="001C125B"/>
    <w:rsid w:val="001C14EC"/>
    <w:rsid w:val="001C15DA"/>
    <w:rsid w:val="001C2489"/>
    <w:rsid w:val="001C24BB"/>
    <w:rsid w:val="001C2686"/>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CF"/>
    <w:rsid w:val="001E1CF2"/>
    <w:rsid w:val="001E2B47"/>
    <w:rsid w:val="001E2BD4"/>
    <w:rsid w:val="001E2C4C"/>
    <w:rsid w:val="001E48F4"/>
    <w:rsid w:val="001E59BA"/>
    <w:rsid w:val="001E59E0"/>
    <w:rsid w:val="001E6CF5"/>
    <w:rsid w:val="001E7244"/>
    <w:rsid w:val="001E766E"/>
    <w:rsid w:val="001E7990"/>
    <w:rsid w:val="001F0DEA"/>
    <w:rsid w:val="001F1338"/>
    <w:rsid w:val="001F1363"/>
    <w:rsid w:val="001F1EFE"/>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881"/>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732"/>
    <w:rsid w:val="0022489C"/>
    <w:rsid w:val="00224A2C"/>
    <w:rsid w:val="00224AF6"/>
    <w:rsid w:val="002250ED"/>
    <w:rsid w:val="00226EF3"/>
    <w:rsid w:val="002270A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7BA"/>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AE4"/>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852"/>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74E"/>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1D44"/>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2F09"/>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465"/>
    <w:rsid w:val="002C29AD"/>
    <w:rsid w:val="002C2C19"/>
    <w:rsid w:val="002C3C8A"/>
    <w:rsid w:val="002C5A0A"/>
    <w:rsid w:val="002C5C0E"/>
    <w:rsid w:val="002C61AC"/>
    <w:rsid w:val="002C631D"/>
    <w:rsid w:val="002C6990"/>
    <w:rsid w:val="002C69E5"/>
    <w:rsid w:val="002C7402"/>
    <w:rsid w:val="002C7829"/>
    <w:rsid w:val="002D0792"/>
    <w:rsid w:val="002D08B4"/>
    <w:rsid w:val="002D1181"/>
    <w:rsid w:val="002D1583"/>
    <w:rsid w:val="002D18AA"/>
    <w:rsid w:val="002D1960"/>
    <w:rsid w:val="002D1B3F"/>
    <w:rsid w:val="002D33DC"/>
    <w:rsid w:val="002D365F"/>
    <w:rsid w:val="002D3909"/>
    <w:rsid w:val="002D391D"/>
    <w:rsid w:val="002D3C98"/>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D79AC"/>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525"/>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189"/>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1F16"/>
    <w:rsid w:val="0032226F"/>
    <w:rsid w:val="0032283C"/>
    <w:rsid w:val="0032302D"/>
    <w:rsid w:val="00324866"/>
    <w:rsid w:val="003250C8"/>
    <w:rsid w:val="003258BB"/>
    <w:rsid w:val="00326F33"/>
    <w:rsid w:val="003273C6"/>
    <w:rsid w:val="00327A6E"/>
    <w:rsid w:val="00330061"/>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3011"/>
    <w:rsid w:val="0036408B"/>
    <w:rsid w:val="003642A6"/>
    <w:rsid w:val="003649D3"/>
    <w:rsid w:val="00365B13"/>
    <w:rsid w:val="00365D8F"/>
    <w:rsid w:val="0036634E"/>
    <w:rsid w:val="0036652C"/>
    <w:rsid w:val="00366BC8"/>
    <w:rsid w:val="00366F1D"/>
    <w:rsid w:val="0036702A"/>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A82"/>
    <w:rsid w:val="00380C9F"/>
    <w:rsid w:val="00382BF6"/>
    <w:rsid w:val="00383AF2"/>
    <w:rsid w:val="00384091"/>
    <w:rsid w:val="00384126"/>
    <w:rsid w:val="0038483B"/>
    <w:rsid w:val="00384D39"/>
    <w:rsid w:val="00384F0A"/>
    <w:rsid w:val="003850E6"/>
    <w:rsid w:val="003864BB"/>
    <w:rsid w:val="0038671F"/>
    <w:rsid w:val="00386816"/>
    <w:rsid w:val="00386BFA"/>
    <w:rsid w:val="00386E68"/>
    <w:rsid w:val="00387238"/>
    <w:rsid w:val="0038752C"/>
    <w:rsid w:val="00387844"/>
    <w:rsid w:val="00387D9F"/>
    <w:rsid w:val="0039053F"/>
    <w:rsid w:val="0039055F"/>
    <w:rsid w:val="00390631"/>
    <w:rsid w:val="00390FA1"/>
    <w:rsid w:val="00390FFA"/>
    <w:rsid w:val="0039146A"/>
    <w:rsid w:val="00391748"/>
    <w:rsid w:val="0039185D"/>
    <w:rsid w:val="00391B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6C"/>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4BC0"/>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1AC"/>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4C60"/>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07EEA"/>
    <w:rsid w:val="0041011D"/>
    <w:rsid w:val="004105EA"/>
    <w:rsid w:val="0041147C"/>
    <w:rsid w:val="00411630"/>
    <w:rsid w:val="00411677"/>
    <w:rsid w:val="0041206D"/>
    <w:rsid w:val="00412505"/>
    <w:rsid w:val="004128BE"/>
    <w:rsid w:val="00412CFA"/>
    <w:rsid w:val="00413B98"/>
    <w:rsid w:val="00413D12"/>
    <w:rsid w:val="00414382"/>
    <w:rsid w:val="00414D64"/>
    <w:rsid w:val="00414DF1"/>
    <w:rsid w:val="004150F5"/>
    <w:rsid w:val="00415377"/>
    <w:rsid w:val="004153A3"/>
    <w:rsid w:val="004163D1"/>
    <w:rsid w:val="0041654A"/>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11AD"/>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1DA"/>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1C5"/>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BC6"/>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22B"/>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4ED7"/>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3FBD"/>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11E"/>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880"/>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426"/>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5B"/>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3FF"/>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5ABD"/>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B04"/>
    <w:rsid w:val="00731847"/>
    <w:rsid w:val="00731F3E"/>
    <w:rsid w:val="00733392"/>
    <w:rsid w:val="0073413F"/>
    <w:rsid w:val="0073477D"/>
    <w:rsid w:val="007363C3"/>
    <w:rsid w:val="007365E3"/>
    <w:rsid w:val="00736A0C"/>
    <w:rsid w:val="00737667"/>
    <w:rsid w:val="00737B66"/>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C2"/>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6EA1"/>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D7EF6"/>
    <w:rsid w:val="007E0590"/>
    <w:rsid w:val="007E09EE"/>
    <w:rsid w:val="007E0B61"/>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1DEF"/>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646"/>
    <w:rsid w:val="00851AB3"/>
    <w:rsid w:val="00852137"/>
    <w:rsid w:val="0085231C"/>
    <w:rsid w:val="0085264B"/>
    <w:rsid w:val="008528FA"/>
    <w:rsid w:val="00852C83"/>
    <w:rsid w:val="00853A1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11F0"/>
    <w:rsid w:val="008B2555"/>
    <w:rsid w:val="008B26FB"/>
    <w:rsid w:val="008B2933"/>
    <w:rsid w:val="008B2A08"/>
    <w:rsid w:val="008B2E89"/>
    <w:rsid w:val="008B3A0A"/>
    <w:rsid w:val="008B45E7"/>
    <w:rsid w:val="008B471E"/>
    <w:rsid w:val="008B5290"/>
    <w:rsid w:val="008B55FA"/>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66E"/>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6E45"/>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7DF"/>
    <w:rsid w:val="00907B61"/>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44D"/>
    <w:rsid w:val="009979C2"/>
    <w:rsid w:val="00997D81"/>
    <w:rsid w:val="009A014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10C"/>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3F60"/>
    <w:rsid w:val="009C46E7"/>
    <w:rsid w:val="009C4EB2"/>
    <w:rsid w:val="009C51D5"/>
    <w:rsid w:val="009C56FA"/>
    <w:rsid w:val="009C57B6"/>
    <w:rsid w:val="009C58A5"/>
    <w:rsid w:val="009C5B86"/>
    <w:rsid w:val="009C6B52"/>
    <w:rsid w:val="009C7119"/>
    <w:rsid w:val="009C74A2"/>
    <w:rsid w:val="009C760A"/>
    <w:rsid w:val="009D0004"/>
    <w:rsid w:val="009D048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2024B"/>
    <w:rsid w:val="00A2036A"/>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CBA"/>
    <w:rsid w:val="00A52E06"/>
    <w:rsid w:val="00A539BC"/>
    <w:rsid w:val="00A53AFE"/>
    <w:rsid w:val="00A54B8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1FC3"/>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75"/>
    <w:rsid w:val="00AA61D6"/>
    <w:rsid w:val="00AA66D3"/>
    <w:rsid w:val="00AA6C91"/>
    <w:rsid w:val="00AA6DB7"/>
    <w:rsid w:val="00AA713E"/>
    <w:rsid w:val="00AA7933"/>
    <w:rsid w:val="00AA7B4F"/>
    <w:rsid w:val="00AA7F00"/>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2A8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29C"/>
    <w:rsid w:val="00AF43A8"/>
    <w:rsid w:val="00AF52EB"/>
    <w:rsid w:val="00AF5C0F"/>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BA"/>
    <w:rsid w:val="00B313CD"/>
    <w:rsid w:val="00B31C46"/>
    <w:rsid w:val="00B31EE1"/>
    <w:rsid w:val="00B31FBE"/>
    <w:rsid w:val="00B32677"/>
    <w:rsid w:val="00B34B83"/>
    <w:rsid w:val="00B34D47"/>
    <w:rsid w:val="00B35093"/>
    <w:rsid w:val="00B3523D"/>
    <w:rsid w:val="00B3552D"/>
    <w:rsid w:val="00B359CC"/>
    <w:rsid w:val="00B3604D"/>
    <w:rsid w:val="00B3670A"/>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335"/>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2DF3"/>
    <w:rsid w:val="00B8332B"/>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1EF2"/>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0B4D"/>
    <w:rsid w:val="00BC15FA"/>
    <w:rsid w:val="00BC1A4F"/>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D7813"/>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B3"/>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17"/>
    <w:rsid w:val="00C82F4C"/>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37C19"/>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B41"/>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5860"/>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4B"/>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4B2"/>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C30"/>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78"/>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7ED"/>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1C7"/>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616C"/>
    <w:rsid w:val="00E7628C"/>
    <w:rsid w:val="00E762EF"/>
    <w:rsid w:val="00E769B6"/>
    <w:rsid w:val="00E76CDF"/>
    <w:rsid w:val="00E77ADF"/>
    <w:rsid w:val="00E77D08"/>
    <w:rsid w:val="00E8018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8A1"/>
    <w:rsid w:val="00EC7EB4"/>
    <w:rsid w:val="00EC7F2E"/>
    <w:rsid w:val="00ED01C8"/>
    <w:rsid w:val="00ED09D6"/>
    <w:rsid w:val="00ED0BCA"/>
    <w:rsid w:val="00ED1FFB"/>
    <w:rsid w:val="00ED21C2"/>
    <w:rsid w:val="00ED2A4C"/>
    <w:rsid w:val="00ED2BB3"/>
    <w:rsid w:val="00ED3121"/>
    <w:rsid w:val="00ED3178"/>
    <w:rsid w:val="00ED32C8"/>
    <w:rsid w:val="00ED3334"/>
    <w:rsid w:val="00ED33BD"/>
    <w:rsid w:val="00ED36E1"/>
    <w:rsid w:val="00ED39D3"/>
    <w:rsid w:val="00ED3A5C"/>
    <w:rsid w:val="00ED3E02"/>
    <w:rsid w:val="00ED43C1"/>
    <w:rsid w:val="00ED4974"/>
    <w:rsid w:val="00ED4C2D"/>
    <w:rsid w:val="00ED5101"/>
    <w:rsid w:val="00ED5120"/>
    <w:rsid w:val="00ED51EE"/>
    <w:rsid w:val="00ED5372"/>
    <w:rsid w:val="00ED55A6"/>
    <w:rsid w:val="00ED5718"/>
    <w:rsid w:val="00ED65F0"/>
    <w:rsid w:val="00ED6BD4"/>
    <w:rsid w:val="00ED6F49"/>
    <w:rsid w:val="00ED7138"/>
    <w:rsid w:val="00ED74E5"/>
    <w:rsid w:val="00ED756B"/>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1C3"/>
    <w:rsid w:val="00EF3325"/>
    <w:rsid w:val="00EF3390"/>
    <w:rsid w:val="00EF3499"/>
    <w:rsid w:val="00EF47C7"/>
    <w:rsid w:val="00EF5A32"/>
    <w:rsid w:val="00EF5B80"/>
    <w:rsid w:val="00EF6954"/>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7D7"/>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27E78"/>
    <w:rsid w:val="00F30425"/>
    <w:rsid w:val="00F3109B"/>
    <w:rsid w:val="00F32190"/>
    <w:rsid w:val="00F323E5"/>
    <w:rsid w:val="00F32EB8"/>
    <w:rsid w:val="00F3317A"/>
    <w:rsid w:val="00F3423B"/>
    <w:rsid w:val="00F343E8"/>
    <w:rsid w:val="00F349F2"/>
    <w:rsid w:val="00F35228"/>
    <w:rsid w:val="00F35FA7"/>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3DA"/>
    <w:rsid w:val="00F54ACF"/>
    <w:rsid w:val="00F54CCC"/>
    <w:rsid w:val="00F54DA8"/>
    <w:rsid w:val="00F5529C"/>
    <w:rsid w:val="00F560D0"/>
    <w:rsid w:val="00F56246"/>
    <w:rsid w:val="00F56348"/>
    <w:rsid w:val="00F56C85"/>
    <w:rsid w:val="00F56CC9"/>
    <w:rsid w:val="00F56CF4"/>
    <w:rsid w:val="00F5715A"/>
    <w:rsid w:val="00F574B2"/>
    <w:rsid w:val="00F577A4"/>
    <w:rsid w:val="00F57B4D"/>
    <w:rsid w:val="00F57C63"/>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42"/>
    <w:rsid w:val="00F85ED0"/>
    <w:rsid w:val="00F864A4"/>
    <w:rsid w:val="00F86A45"/>
    <w:rsid w:val="00F86EED"/>
    <w:rsid w:val="00F878FE"/>
    <w:rsid w:val="00F87B44"/>
    <w:rsid w:val="00F87FEA"/>
    <w:rsid w:val="00F901C4"/>
    <w:rsid w:val="00F90581"/>
    <w:rsid w:val="00F9096A"/>
    <w:rsid w:val="00F909D1"/>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895"/>
    <w:rsid w:val="00FD7A8E"/>
    <w:rsid w:val="00FD7B0A"/>
    <w:rsid w:val="00FD7CCC"/>
    <w:rsid w:val="00FE002E"/>
    <w:rsid w:val="00FE049A"/>
    <w:rsid w:val="00FE07B5"/>
    <w:rsid w:val="00FE07D1"/>
    <w:rsid w:val="00FE1315"/>
    <w:rsid w:val="00FE1653"/>
    <w:rsid w:val="00FE16BC"/>
    <w:rsid w:val="00FE1D47"/>
    <w:rsid w:val="00FE2192"/>
    <w:rsid w:val="00FE2268"/>
    <w:rsid w:val="00FE23D7"/>
    <w:rsid w:val="00FE30BC"/>
    <w:rsid w:val="00FE380A"/>
    <w:rsid w:val="00FE3CDD"/>
    <w:rsid w:val="00FE4DBB"/>
    <w:rsid w:val="00FE536D"/>
    <w:rsid w:val="00FE631D"/>
    <w:rsid w:val="00FE6958"/>
    <w:rsid w:val="00FE6A1A"/>
    <w:rsid w:val="00FE6F69"/>
    <w:rsid w:val="00FE763F"/>
    <w:rsid w:val="00FE7FC6"/>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DB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A6DB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A6DB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109167">
      <w:bodyDiv w:val="1"/>
      <w:marLeft w:val="0"/>
      <w:marRight w:val="0"/>
      <w:marTop w:val="0"/>
      <w:marBottom w:val="0"/>
      <w:divBdr>
        <w:top w:val="none" w:sz="0" w:space="0" w:color="auto"/>
        <w:left w:val="none" w:sz="0" w:space="0" w:color="auto"/>
        <w:bottom w:val="none" w:sz="0" w:space="0" w:color="auto"/>
        <w:right w:val="none" w:sz="0" w:space="0" w:color="auto"/>
      </w:divBdr>
      <w:divsChild>
        <w:div w:id="1315717003">
          <w:marLeft w:val="547"/>
          <w:marRight w:val="0"/>
          <w:marTop w:val="0"/>
          <w:marBottom w:val="0"/>
          <w:divBdr>
            <w:top w:val="none" w:sz="0" w:space="0" w:color="auto"/>
            <w:left w:val="none" w:sz="0" w:space="0" w:color="auto"/>
            <w:bottom w:val="none" w:sz="0" w:space="0" w:color="auto"/>
            <w:right w:val="none" w:sz="0" w:space="0" w:color="auto"/>
          </w:divBdr>
        </w:div>
        <w:div w:id="821316374">
          <w:marLeft w:val="1267"/>
          <w:marRight w:val="0"/>
          <w:marTop w:val="0"/>
          <w:marBottom w:val="0"/>
          <w:divBdr>
            <w:top w:val="none" w:sz="0" w:space="0" w:color="auto"/>
            <w:left w:val="none" w:sz="0" w:space="0" w:color="auto"/>
            <w:bottom w:val="none" w:sz="0" w:space="0" w:color="auto"/>
            <w:right w:val="none" w:sz="0" w:space="0" w:color="auto"/>
          </w:divBdr>
        </w:div>
        <w:div w:id="381440101">
          <w:marLeft w:val="547"/>
          <w:marRight w:val="0"/>
          <w:marTop w:val="0"/>
          <w:marBottom w:val="0"/>
          <w:divBdr>
            <w:top w:val="none" w:sz="0" w:space="0" w:color="auto"/>
            <w:left w:val="none" w:sz="0" w:space="0" w:color="auto"/>
            <w:bottom w:val="none" w:sz="0" w:space="0" w:color="auto"/>
            <w:right w:val="none" w:sz="0" w:space="0" w:color="auto"/>
          </w:divBdr>
        </w:div>
        <w:div w:id="1115519184">
          <w:marLeft w:val="547"/>
          <w:marRight w:val="0"/>
          <w:marTop w:val="0"/>
          <w:marBottom w:val="0"/>
          <w:divBdr>
            <w:top w:val="none" w:sz="0" w:space="0" w:color="auto"/>
            <w:left w:val="none" w:sz="0" w:space="0" w:color="auto"/>
            <w:bottom w:val="none" w:sz="0" w:space="0" w:color="auto"/>
            <w:right w:val="none" w:sz="0" w:space="0" w:color="auto"/>
          </w:divBdr>
        </w:div>
        <w:div w:id="2129272133">
          <w:marLeft w:val="1267"/>
          <w:marRight w:val="0"/>
          <w:marTop w:val="0"/>
          <w:marBottom w:val="0"/>
          <w:divBdr>
            <w:top w:val="none" w:sz="0" w:space="0" w:color="auto"/>
            <w:left w:val="none" w:sz="0" w:space="0" w:color="auto"/>
            <w:bottom w:val="none" w:sz="0" w:space="0" w:color="auto"/>
            <w:right w:val="none" w:sz="0" w:space="0" w:color="auto"/>
          </w:divBdr>
        </w:div>
        <w:div w:id="888154318">
          <w:marLeft w:val="1267"/>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124514">
      <w:bodyDiv w:val="1"/>
      <w:marLeft w:val="0"/>
      <w:marRight w:val="0"/>
      <w:marTop w:val="0"/>
      <w:marBottom w:val="0"/>
      <w:divBdr>
        <w:top w:val="none" w:sz="0" w:space="0" w:color="auto"/>
        <w:left w:val="none" w:sz="0" w:space="0" w:color="auto"/>
        <w:bottom w:val="none" w:sz="0" w:space="0" w:color="auto"/>
        <w:right w:val="none" w:sz="0" w:space="0" w:color="auto"/>
      </w:divBdr>
      <w:divsChild>
        <w:div w:id="1754351368">
          <w:marLeft w:val="360"/>
          <w:marRight w:val="0"/>
          <w:marTop w:val="0"/>
          <w:marBottom w:val="0"/>
          <w:divBdr>
            <w:top w:val="none" w:sz="0" w:space="0" w:color="auto"/>
            <w:left w:val="none" w:sz="0" w:space="0" w:color="auto"/>
            <w:bottom w:val="none" w:sz="0" w:space="0" w:color="auto"/>
            <w:right w:val="none" w:sz="0" w:space="0" w:color="auto"/>
          </w:divBdr>
        </w:div>
        <w:div w:id="874853981">
          <w:marLeft w:val="1166"/>
          <w:marRight w:val="0"/>
          <w:marTop w:val="0"/>
          <w:marBottom w:val="0"/>
          <w:divBdr>
            <w:top w:val="none" w:sz="0" w:space="0" w:color="auto"/>
            <w:left w:val="none" w:sz="0" w:space="0" w:color="auto"/>
            <w:bottom w:val="none" w:sz="0" w:space="0" w:color="auto"/>
            <w:right w:val="none" w:sz="0" w:space="0" w:color="auto"/>
          </w:divBdr>
        </w:div>
        <w:div w:id="1765034971">
          <w:marLeft w:val="1166"/>
          <w:marRight w:val="0"/>
          <w:marTop w:val="0"/>
          <w:marBottom w:val="0"/>
          <w:divBdr>
            <w:top w:val="none" w:sz="0" w:space="0" w:color="auto"/>
            <w:left w:val="none" w:sz="0" w:space="0" w:color="auto"/>
            <w:bottom w:val="none" w:sz="0" w:space="0" w:color="auto"/>
            <w:right w:val="none" w:sz="0" w:space="0" w:color="auto"/>
          </w:divBdr>
        </w:div>
        <w:div w:id="288437212">
          <w:marLeft w:val="1267"/>
          <w:marRight w:val="0"/>
          <w:marTop w:val="0"/>
          <w:marBottom w:val="0"/>
          <w:divBdr>
            <w:top w:val="none" w:sz="0" w:space="0" w:color="auto"/>
            <w:left w:val="none" w:sz="0" w:space="0" w:color="auto"/>
            <w:bottom w:val="none" w:sz="0" w:space="0" w:color="auto"/>
            <w:right w:val="none" w:sz="0" w:space="0" w:color="auto"/>
          </w:divBdr>
        </w:div>
        <w:div w:id="510679343">
          <w:marLeft w:val="1267"/>
          <w:marRight w:val="0"/>
          <w:marTop w:val="0"/>
          <w:marBottom w:val="0"/>
          <w:divBdr>
            <w:top w:val="none" w:sz="0" w:space="0" w:color="auto"/>
            <w:left w:val="none" w:sz="0" w:space="0" w:color="auto"/>
            <w:bottom w:val="none" w:sz="0" w:space="0" w:color="auto"/>
            <w:right w:val="none" w:sz="0" w:space="0" w:color="auto"/>
          </w:divBdr>
        </w:div>
        <w:div w:id="196506540">
          <w:marLeft w:val="1987"/>
          <w:marRight w:val="0"/>
          <w:marTop w:val="0"/>
          <w:marBottom w:val="0"/>
          <w:divBdr>
            <w:top w:val="none" w:sz="0" w:space="0" w:color="auto"/>
            <w:left w:val="none" w:sz="0" w:space="0" w:color="auto"/>
            <w:bottom w:val="none" w:sz="0" w:space="0" w:color="auto"/>
            <w:right w:val="none" w:sz="0" w:space="0" w:color="auto"/>
          </w:divBdr>
        </w:div>
        <w:div w:id="1320888941">
          <w:marLeft w:val="1987"/>
          <w:marRight w:val="0"/>
          <w:marTop w:val="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0472480">
      <w:bodyDiv w:val="1"/>
      <w:marLeft w:val="0"/>
      <w:marRight w:val="0"/>
      <w:marTop w:val="0"/>
      <w:marBottom w:val="0"/>
      <w:divBdr>
        <w:top w:val="none" w:sz="0" w:space="0" w:color="auto"/>
        <w:left w:val="none" w:sz="0" w:space="0" w:color="auto"/>
        <w:bottom w:val="none" w:sz="0" w:space="0" w:color="auto"/>
        <w:right w:val="none" w:sz="0" w:space="0" w:color="auto"/>
      </w:divBdr>
      <w:divsChild>
        <w:div w:id="225999019">
          <w:marLeft w:val="547"/>
          <w:marRight w:val="0"/>
          <w:marTop w:val="0"/>
          <w:marBottom w:val="0"/>
          <w:divBdr>
            <w:top w:val="none" w:sz="0" w:space="0" w:color="auto"/>
            <w:left w:val="none" w:sz="0" w:space="0" w:color="auto"/>
            <w:bottom w:val="none" w:sz="0" w:space="0" w:color="auto"/>
            <w:right w:val="none" w:sz="0" w:space="0" w:color="auto"/>
          </w:divBdr>
        </w:div>
        <w:div w:id="1323898720">
          <w:marLeft w:val="1267"/>
          <w:marRight w:val="0"/>
          <w:marTop w:val="0"/>
          <w:marBottom w:val="0"/>
          <w:divBdr>
            <w:top w:val="none" w:sz="0" w:space="0" w:color="auto"/>
            <w:left w:val="none" w:sz="0" w:space="0" w:color="auto"/>
            <w:bottom w:val="none" w:sz="0" w:space="0" w:color="auto"/>
            <w:right w:val="none" w:sz="0" w:space="0" w:color="auto"/>
          </w:divBdr>
        </w:div>
        <w:div w:id="1536193454">
          <w:marLeft w:val="1987"/>
          <w:marRight w:val="0"/>
          <w:marTop w:val="0"/>
          <w:marBottom w:val="0"/>
          <w:divBdr>
            <w:top w:val="none" w:sz="0" w:space="0" w:color="auto"/>
            <w:left w:val="none" w:sz="0" w:space="0" w:color="auto"/>
            <w:bottom w:val="none" w:sz="0" w:space="0" w:color="auto"/>
            <w:right w:val="none" w:sz="0" w:space="0" w:color="auto"/>
          </w:divBdr>
        </w:div>
        <w:div w:id="1369144278">
          <w:marLeft w:val="1987"/>
          <w:marRight w:val="0"/>
          <w:marTop w:val="0"/>
          <w:marBottom w:val="0"/>
          <w:divBdr>
            <w:top w:val="none" w:sz="0" w:space="0" w:color="auto"/>
            <w:left w:val="none" w:sz="0" w:space="0" w:color="auto"/>
            <w:bottom w:val="none" w:sz="0" w:space="0" w:color="auto"/>
            <w:right w:val="none" w:sz="0" w:space="0" w:color="auto"/>
          </w:divBdr>
        </w:div>
        <w:div w:id="55325730">
          <w:marLeft w:val="1267"/>
          <w:marRight w:val="0"/>
          <w:marTop w:val="0"/>
          <w:marBottom w:val="0"/>
          <w:divBdr>
            <w:top w:val="none" w:sz="0" w:space="0" w:color="auto"/>
            <w:left w:val="none" w:sz="0" w:space="0" w:color="auto"/>
            <w:bottom w:val="none" w:sz="0" w:space="0" w:color="auto"/>
            <w:right w:val="none" w:sz="0" w:space="0" w:color="auto"/>
          </w:divBdr>
        </w:div>
        <w:div w:id="1824203232">
          <w:marLeft w:val="1987"/>
          <w:marRight w:val="0"/>
          <w:marTop w:val="0"/>
          <w:marBottom w:val="0"/>
          <w:divBdr>
            <w:top w:val="none" w:sz="0" w:space="0" w:color="auto"/>
            <w:left w:val="none" w:sz="0" w:space="0" w:color="auto"/>
            <w:bottom w:val="none" w:sz="0" w:space="0" w:color="auto"/>
            <w:right w:val="none" w:sz="0" w:space="0" w:color="auto"/>
          </w:divBdr>
        </w:div>
        <w:div w:id="2038503975">
          <w:marLeft w:val="1267"/>
          <w:marRight w:val="0"/>
          <w:marTop w:val="0"/>
          <w:marBottom w:val="0"/>
          <w:divBdr>
            <w:top w:val="none" w:sz="0" w:space="0" w:color="auto"/>
            <w:left w:val="none" w:sz="0" w:space="0" w:color="auto"/>
            <w:bottom w:val="none" w:sz="0" w:space="0" w:color="auto"/>
            <w:right w:val="none" w:sz="0" w:space="0" w:color="auto"/>
          </w:divBdr>
        </w:div>
        <w:div w:id="290089730">
          <w:marLeft w:val="1987"/>
          <w:marRight w:val="0"/>
          <w:marTop w:val="0"/>
          <w:marBottom w:val="0"/>
          <w:divBdr>
            <w:top w:val="none" w:sz="0" w:space="0" w:color="auto"/>
            <w:left w:val="none" w:sz="0" w:space="0" w:color="auto"/>
            <w:bottom w:val="none" w:sz="0" w:space="0" w:color="auto"/>
            <w:right w:val="none" w:sz="0" w:space="0" w:color="auto"/>
          </w:divBdr>
        </w:div>
        <w:div w:id="307132726">
          <w:marLeft w:val="1166"/>
          <w:marRight w:val="0"/>
          <w:marTop w:val="0"/>
          <w:marBottom w:val="0"/>
          <w:divBdr>
            <w:top w:val="none" w:sz="0" w:space="0" w:color="auto"/>
            <w:left w:val="none" w:sz="0" w:space="0" w:color="auto"/>
            <w:bottom w:val="none" w:sz="0" w:space="0" w:color="auto"/>
            <w:right w:val="none" w:sz="0" w:space="0" w:color="auto"/>
          </w:divBdr>
        </w:div>
        <w:div w:id="205337998">
          <w:marLeft w:val="1800"/>
          <w:marRight w:val="0"/>
          <w:marTop w:val="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56390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897721">
      <w:bodyDiv w:val="1"/>
      <w:marLeft w:val="0"/>
      <w:marRight w:val="0"/>
      <w:marTop w:val="0"/>
      <w:marBottom w:val="0"/>
      <w:divBdr>
        <w:top w:val="none" w:sz="0" w:space="0" w:color="auto"/>
        <w:left w:val="none" w:sz="0" w:space="0" w:color="auto"/>
        <w:bottom w:val="none" w:sz="0" w:space="0" w:color="auto"/>
        <w:right w:val="none" w:sz="0" w:space="0" w:color="auto"/>
      </w:divBdr>
      <w:divsChild>
        <w:div w:id="122117309">
          <w:marLeft w:val="547"/>
          <w:marRight w:val="0"/>
          <w:marTop w:val="0"/>
          <w:marBottom w:val="0"/>
          <w:divBdr>
            <w:top w:val="none" w:sz="0" w:space="0" w:color="auto"/>
            <w:left w:val="none" w:sz="0" w:space="0" w:color="auto"/>
            <w:bottom w:val="none" w:sz="0" w:space="0" w:color="auto"/>
            <w:right w:val="none" w:sz="0" w:space="0" w:color="auto"/>
          </w:divBdr>
        </w:div>
        <w:div w:id="1817331315">
          <w:marLeft w:val="1267"/>
          <w:marRight w:val="0"/>
          <w:marTop w:val="0"/>
          <w:marBottom w:val="0"/>
          <w:divBdr>
            <w:top w:val="none" w:sz="0" w:space="0" w:color="auto"/>
            <w:left w:val="none" w:sz="0" w:space="0" w:color="auto"/>
            <w:bottom w:val="none" w:sz="0" w:space="0" w:color="auto"/>
            <w:right w:val="none" w:sz="0" w:space="0" w:color="auto"/>
          </w:divBdr>
        </w:div>
        <w:div w:id="1730760167">
          <w:marLeft w:val="1987"/>
          <w:marRight w:val="0"/>
          <w:marTop w:val="0"/>
          <w:marBottom w:val="0"/>
          <w:divBdr>
            <w:top w:val="none" w:sz="0" w:space="0" w:color="auto"/>
            <w:left w:val="none" w:sz="0" w:space="0" w:color="auto"/>
            <w:bottom w:val="none" w:sz="0" w:space="0" w:color="auto"/>
            <w:right w:val="none" w:sz="0" w:space="0" w:color="auto"/>
          </w:divBdr>
        </w:div>
        <w:div w:id="122819453">
          <w:marLeft w:val="1987"/>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3521925">
      <w:bodyDiv w:val="1"/>
      <w:marLeft w:val="0"/>
      <w:marRight w:val="0"/>
      <w:marTop w:val="0"/>
      <w:marBottom w:val="0"/>
      <w:divBdr>
        <w:top w:val="none" w:sz="0" w:space="0" w:color="auto"/>
        <w:left w:val="none" w:sz="0" w:space="0" w:color="auto"/>
        <w:bottom w:val="none" w:sz="0" w:space="0" w:color="auto"/>
        <w:right w:val="none" w:sz="0" w:space="0" w:color="auto"/>
      </w:divBdr>
      <w:divsChild>
        <w:div w:id="913008572">
          <w:marLeft w:val="360"/>
          <w:marRight w:val="0"/>
          <w:marTop w:val="200"/>
          <w:marBottom w:val="0"/>
          <w:divBdr>
            <w:top w:val="none" w:sz="0" w:space="0" w:color="auto"/>
            <w:left w:val="none" w:sz="0" w:space="0" w:color="auto"/>
            <w:bottom w:val="none" w:sz="0" w:space="0" w:color="auto"/>
            <w:right w:val="none" w:sz="0" w:space="0" w:color="auto"/>
          </w:divBdr>
        </w:div>
        <w:div w:id="553807785">
          <w:marLeft w:val="1080"/>
          <w:marRight w:val="0"/>
          <w:marTop w:val="100"/>
          <w:marBottom w:val="0"/>
          <w:divBdr>
            <w:top w:val="none" w:sz="0" w:space="0" w:color="auto"/>
            <w:left w:val="none" w:sz="0" w:space="0" w:color="auto"/>
            <w:bottom w:val="none" w:sz="0" w:space="0" w:color="auto"/>
            <w:right w:val="none" w:sz="0" w:space="0" w:color="auto"/>
          </w:divBdr>
        </w:div>
        <w:div w:id="150367463">
          <w:marLeft w:val="1800"/>
          <w:marRight w:val="0"/>
          <w:marTop w:val="100"/>
          <w:marBottom w:val="0"/>
          <w:divBdr>
            <w:top w:val="none" w:sz="0" w:space="0" w:color="auto"/>
            <w:left w:val="none" w:sz="0" w:space="0" w:color="auto"/>
            <w:bottom w:val="none" w:sz="0" w:space="0" w:color="auto"/>
            <w:right w:val="none" w:sz="0" w:space="0" w:color="auto"/>
          </w:divBdr>
        </w:div>
        <w:div w:id="1780946652">
          <w:marLeft w:val="2520"/>
          <w:marRight w:val="0"/>
          <w:marTop w:val="100"/>
          <w:marBottom w:val="0"/>
          <w:divBdr>
            <w:top w:val="none" w:sz="0" w:space="0" w:color="auto"/>
            <w:left w:val="none" w:sz="0" w:space="0" w:color="auto"/>
            <w:bottom w:val="none" w:sz="0" w:space="0" w:color="auto"/>
            <w:right w:val="none" w:sz="0" w:space="0" w:color="auto"/>
          </w:divBdr>
        </w:div>
        <w:div w:id="1341201432">
          <w:marLeft w:val="2520"/>
          <w:marRight w:val="0"/>
          <w:marTop w:val="100"/>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22F49-28E8-4FF2-B445-817B6D5E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2020-02-14T07:36:00Z</dcterms:created>
  <dcterms:modified xsi:type="dcterms:W3CDTF">2020-02-14T07:36:00Z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